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906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left w:type="dxa" w:w="1701"/>
              <w:right w:type="dxa" w:w="1701"/>
            </w:tcMar>
            <w:vAlign w:val="top"/>
          </w:tcPr>
          <w:p>
            <w:pPr>
              <w:spacing w:before="3286"/>
            </w:pPr>
          </w:p>
          <w:p>
            <w:pPr>
              <w:spacing w:after="400" w:line="368" w:lineRule="atLeast"/>
              <w:jc w:val="center"/>
            </w:pPr>
            <w:r>
              <w:rPr>
                <w:rFonts w:ascii="Times New Roman" w:eastAsia="SimSun" w:hAnsi="Times New Roman"/>
                <w:color w:val="333333"/>
                <w:spacing w:val="40"/>
                <w:sz w:val="32"/>
                <w:szCs w:val="32"/>
              </w:rPr>
              <w:t xml:space="preserve">choptuik_ac_bc · theorems12 · github.com/wild8highlander/choptuik_ac_bc</w:t>
            </w:r>
          </w:p>
          <w:p>
            <w:pPr>
              <w:spacing w:after="120" w:line="598" w:lineRule="atLeast"/>
              <w:jc w:val="center"/>
            </w:pPr>
            <w:r>
              <w:rPr>
                <w:rFonts w:ascii="Times New Roman" w:eastAsia="SimHei" w:hAnsi="Times New Roman"/>
                <w:b/>
                <w:bCs/>
                <w:color w:val="000000"/>
                <w:sz w:val="52"/>
                <w:szCs w:val="52"/>
              </w:rPr>
              <w:t xml:space="preserve">Теорема о dd-замыкании:</w:t>
            </w:r>
          </w:p>
          <w:p>
            <w:pPr>
              <w:spacing w:after="120" w:line="598" w:lineRule="atLeast"/>
              <w:jc w:val="center"/>
            </w:pPr>
            <w:r>
              <w:rPr>
                <w:rFonts w:ascii="Times New Roman" w:eastAsia="SimHei" w:hAnsi="Times New Roman"/>
                <w:b/>
                <w:bCs/>
                <w:color w:val="000000"/>
                <w:sz w:val="52"/>
                <w:szCs w:val="52"/>
              </w:rPr>
              <w:t xml:space="preserve">единственность пролонгации</w:t>
            </w:r>
          </w:p>
          <w:p>
            <w:pPr>
              <w:spacing w:after="300" w:line="598" w:lineRule="atLeast"/>
              <w:jc w:val="center"/>
            </w:pPr>
            <w:r>
              <w:rPr>
                <w:rFonts w:ascii="Times New Roman" w:eastAsia="SimHei" w:hAnsi="Times New Roman"/>
                <w:b/>
                <w:bCs/>
                <w:color w:val="000000"/>
                <w:sz w:val="52"/>
                <w:szCs w:val="52"/>
              </w:rPr>
              <w:t xml:space="preserve">и нильпотент Иордана-2</w:t>
            </w:r>
          </w:p>
          <w:p>
            <w:pPr>
              <w:spacing w:after="200" w:line="299" w:lineRule="atLeast"/>
              <w:jc w:val="center"/>
            </w:pPr>
            <w:r>
              <w:rPr>
                <w:rFonts w:ascii="Times New Roman" w:eastAsia="SimSun" w:hAnsi="Times New Roman"/>
                <w:color w:val="404040"/>
                <w:sz w:val="26"/>
                <w:szCs w:val="26"/>
              </w:rPr>
              <w:t xml:space="preserve">rank Uk = 9 точно · B = [[0, −350/61], [0, 0]], B² = 0 · δ_mono = 0 линейно</w:t>
            </w:r>
          </w:p>
          <w:p>
            <w:pPr>
              <w:spacing w:before="1125"/>
            </w:pPr>
          </w:p>
          <w:tbl>
            <w:tblPr>
              <w:tblW w:type="pct" w:w="2750"/>
              <w:jc w:val="center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637"/>
              <w:gridCol w:w="4911"/>
            </w:tblGrid>
            <w:tr>
              <w:trPr>
                <w:cantSplit/>
              </w:trPr>
              <w:tc>
                <w:tcPr>
                  <w:tcW w:type="pct" w:w="12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 w:hAnsi="Times New Roman"/>
                      <w:sz w:val="24"/>
                      <w:szCs w:val="24"/>
                    </w:rPr>
                    <w:t xml:space="preserve">Автор:</w:t>
                  </w:r>
                </w:p>
              </w:tc>
              <w:tc>
                <w:tcPr>
                  <w:tcW w:type="pct" w:w="3750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 w:hAnsi="Times New Roman"/>
                      <w:sz w:val="24"/>
                      <w:szCs w:val="24"/>
                    </w:rPr>
                    <w:t xml:space="preserve">Исаев Исак Хамзатович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12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 w:hAnsi="Times New Roman"/>
                      <w:sz w:val="24"/>
                      <w:szCs w:val="24"/>
                    </w:rPr>
                    <w:t xml:space="preserve">Серия:</w:t>
                  </w:r>
                </w:p>
              </w:tc>
              <w:tc>
                <w:tcPr>
                  <w:tcW w:type="pct" w:w="3750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 w:hAnsi="Times New Roman"/>
                      <w:sz w:val="24"/>
                      <w:szCs w:val="24"/>
                    </w:rPr>
                    <w:t xml:space="preserve">Монография № 05 из цикла «Двенадцать теорем»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12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 w:hAnsi="Times New Roman"/>
                      <w:sz w:val="24"/>
                      <w:szCs w:val="24"/>
                    </w:rPr>
                    <w:t xml:space="preserve">Машина:</w:t>
                  </w:r>
                </w:p>
              </w:tc>
              <w:tc>
                <w:tcPr>
                  <w:tcW w:type="pct" w:w="3750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 w:hAnsi="Times New Roman"/>
                      <w:sz w:val="24"/>
                      <w:szCs w:val="24"/>
                    </w:rPr>
                    <w:t xml:space="preserve">sympy_dd_closure.py · SymPy, точная арифметика Q(√3)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12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 w:hAnsi="Times New Roman"/>
                      <w:sz w:val="24"/>
                      <w:szCs w:val="24"/>
                    </w:rPr>
                    <w:t xml:space="preserve">Вердикт:</w:t>
                  </w:r>
                </w:p>
              </w:tc>
              <w:tc>
                <w:tcPr>
                  <w:tcW w:type="pct" w:w="3750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 w:hAnsi="Times New Roman"/>
                      <w:sz w:val="24"/>
                      <w:szCs w:val="24"/>
                    </w:rPr>
                    <w:t xml:space="preserve">einstein_direct/results/dd_closure.json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12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 w:hAnsi="Times New Roman"/>
                      <w:sz w:val="24"/>
                      <w:szCs w:val="24"/>
                    </w:rPr>
                    <w:t xml:space="preserve">Статус:</w:t>
                  </w:r>
                </w:p>
              </w:tc>
              <w:tc>
                <w:tcPr>
                  <w:tcW w:type="pct" w:w="3750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 w:hAnsi="Times New Roman"/>
                      <w:sz w:val="24"/>
                      <w:szCs w:val="24"/>
                    </w:rPr>
                    <w:t xml:space="preserve">ДОКАЗАНА ТОЧНО (базовая точка, Q(√3)) + численный контроль кирпича</w:t>
                  </w:r>
                </w:p>
              </w:tc>
            </w:tr>
          </w:tbl>
          <w:p>
            <w:pPr>
              <w:spacing w:before="4240"/>
            </w:pPr>
          </w:p>
          <w:p>
            <w:pPr>
              <w:jc w:val="center"/>
            </w:pPr>
            <w:r>
              <w:rPr>
                <w:rFonts w:ascii="Times New Roman" w:eastAsia="SimSun" w:hAnsi="Times New Roman"/>
                <w:color w:val="404040"/>
                <w:sz w:val="22"/>
                <w:szCs w:val="22"/>
              </w:rPr>
              <w:t xml:space="preserve">2026 · Лицензия Isaev Proprietary · папка theorems12</w:t>
            </w:r>
          </w:p>
        </w:tc>
      </w:tr>
    </w:tbl>
    <w:p>
      <w:pPr>
        <w:sectPr>
          <w:headerReference w:type="default" r:id="rId6"/>
          <w:footerReference w:type="default" r:id="rId7"/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240" w:line="360"/>
        <w:jc w:val="center"/>
      </w:pPr>
      <w:r>
        <w:rPr>
          <w:rFonts w:ascii="Times New Roman" w:eastAsia="SimHei" w:hAnsi="Times New Roman"/>
          <w:b/>
          <w:bCs/>
          <w:sz w:val="32"/>
          <w:szCs w:val="32"/>
        </w:rPr>
        <w:t xml:space="preserve">Аннотация</w:t>
      </w: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Монография фиксирует теорему о независимом dd-законе эволюции усечённой башни: закон вторых производных выводится из тождеств, а не выбирается. На очищенных формах y-пролонгация остатков совпадает с τ-пролонгацией (весовое правило), поэтому замыкание пролонгации — это сохранение ограничений; ранг пролонгационной матрицы rank Uk = 9 точно в Q(√3) — замыкание существует и единственно, скрытые условия имеют ранг 5, индексная редукция снижает индекс с трёх до двух, и допустимое многообразие M2 двумерно.</w:t>
      </w: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Эволюция на M2 замыкается матрицей B = [[0, −350/61], [0, 0]] с B² = 0 точно — нильпотентный блок Иордана-2: статика плюс линейный светской дрейф, без экспонент и осцилляций; δ_mono = 0 в замкнутой линейной динамике, и остаток ~2.9% к π/30 обязан быть конечно-амплитудным. Альтернативные замыкания (адиабатика, прикованные к цепочке потоки) вырождены машиной. Приведены ранговые таблицы обеих точек, следствия, честные оговорки и протокол воспроизведения.</w:t>
      </w:r>
    </w:p>
    <w:p>
      <w:pPr>
        <w:spacing w:before="200" w:line="360"/>
        <w:jc w:val="both"/>
      </w:pPr>
      <w:r>
        <w:rPr>
          <w:rFonts w:ascii="Times New Roman" w:eastAsia="SimHei" w:hAnsi="Times New Roman"/>
          <w:b/>
          <w:bCs/>
          <w:sz w:val="24"/>
          <w:szCs w:val="24"/>
        </w:rPr>
        <w:t xml:space="preserve">Ключевые слова: </w:t>
      </w:r>
      <w:r>
        <w:rPr>
          <w:rFonts w:ascii="Times New Roman" w:eastAsia="SimSun" w:hAnsi="Times New Roman"/>
          <w:sz w:val="24"/>
          <w:szCs w:val="24"/>
        </w:rPr>
        <w:t xml:space="preserve">dd-замыкание, пролонгация, скрытые условия, нильпотент Иордана-2, δ_mono = 0, SymPy, машинное доказательство.</w:t>
      </w:r>
      <w:r>
        <w:br w:type="page"/>
      </w:r>
    </w:p>
    <w:p>
      <w:pPr>
        <w:spacing w:after="360" w:before="240" w:line="360"/>
        <w:jc w:val="center"/>
      </w:pPr>
      <w:r>
        <w:rPr>
          <w:rFonts w:ascii="Times New Roman" w:eastAsia="SimHei" w:hAnsi="Times New Roman"/>
          <w:b/>
          <w:bCs/>
          <w:sz w:val="32"/>
          <w:szCs w:val="32"/>
        </w:rPr>
        <w:t xml:space="preserve">Оглавление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1. Введение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2. Обозначения и постановка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3. Формулировка теоремы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4. Схема машинного доказательства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4.1. Обоснование закона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4.2. Единственность замыкания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4.3. Нильпотент и альтернативы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5. Числовые результаты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6. Следствия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7. Честные оговорки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8. Воспроизводимость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Список источников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Times New Roman" w:eastAsia="SimSun" w:hAnsi="Times New Roman"/>
          <w:i/>
          <w:iCs/>
          <w:color w:val="888888"/>
          <w:sz w:val="18"/>
          <w:szCs w:val="18"/>
        </w:rPr>
        <w:t xml:space="preserve">Примечание: оглавление построено на полях документа. После редактирования обновите номера страниц: щёлкните по оглавлению правой кнопкой мыши и выберите «Обновить поле».</w:t>
      </w:r>
    </w:p>
    <w:p>
      <w:pPr>
        <w:sectPr>
          <w:headerReference w:type="default" r:id="rId8"/>
          <w:footerReference w:type="default" r:id="rId9"/>
          <w:type w:val="nextPage"/>
          <w:pgSz w:w="11906" w:h="16838" w:orient="portrait"/>
          <w:pgMar w:top="1440" w:right="1417" w:bottom="1440" w:left="1701" w:header="850" w:footer="992" w:gutter="0"/>
          <w:pgNumType w:start="1" w:fmt="upperRoman"/>
          <w:docGrid w:linePitch="360"/>
        </w:sectPr>
      </w:pPr>
    </w:p>
    <w:p>
      <w:pPr>
        <w:pStyle w:val="Heading1"/>
        <w:spacing w:after="360" w:before="480" w:line="360"/>
        <w:jc w:val="center"/>
      </w:pPr>
      <w:bookmarkStart w:id="100000" w:name="_Toc100000"/>
      <w:r>
        <w:rPr>
          <w:rFonts w:ascii="Times New Roman" w:eastAsia="SimHei" w:hAnsi="Times New Roman"/>
          <w:b/>
          <w:bCs/>
          <w:color w:val="000000"/>
          <w:sz w:val="32"/>
          <w:szCs w:val="32"/>
        </w:rPr>
        <w:t xml:space="preserve">1. Введение</w:t>
      </w:r>
      <w:bookmarkEnd w:id="100000"/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Пятая монография фиксирует теорему о независимом dd-законе эволюции: замыкание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пролонгации единственно, допустимое многообразие двумерно, а замкнутая линейная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динамика на нём — нильпотентный блок Иордана-2 с матрицей B = [[0, −350/61], [0, 0]].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Результат получен в кампании v14 (машина sympy_dd_closure.py, вердикт dd_closure.json,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сеанс 18b, LEDGER §25) и отвечает на центральный методический вопрос программы: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dd-слоты были введены с коэффициентом 1 «по прецеденту ddQ» — можно ли обосновать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закон эволюции вторых потоков из тождеств, а не выбирать или подгонять его?</w:t>
      </w: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Ответ — да, и единственным образом. На очищенных формах производная по лог-времени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совпадает с производной по τ (весовое правило, монография №4), поэтому пролонгация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остатков — это сохранение ограничений; система пролонгации содержит девять неизвестных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эволюционных производных и решается единственным образом (ранг Uk = 9 точно в Q(√3)).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Совместность пролонгации порождает пять скрытых условий, индексный редукция снижает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индекс системы с трёх до двух, и на двумерном допустимом многообразии M2 эволюция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замыкается матрицей B с B² = 0 точно: спектр {0, 0}, ни экспонент, ни осцилляций.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Следствие — δ_mono = 0 в замкнутой линейной динамике — разделяет судьбу башни и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конечно-амплитудных механизмов.</w:t>
      </w:r>
    </w:p>
    <w:p>
      <w:pPr>
        <w:pStyle w:val="Heading1"/>
        <w:spacing w:after="360" w:before="480" w:line="360"/>
        <w:jc w:val="center"/>
      </w:pPr>
      <w:bookmarkStart w:id="100001" w:name="_Toc100001"/>
      <w:r>
        <w:rPr>
          <w:rFonts w:ascii="Times New Roman" w:eastAsia="SimHei" w:hAnsi="Times New Roman"/>
          <w:b/>
          <w:bCs/>
          <w:color w:val="000000"/>
          <w:sz w:val="32"/>
          <w:szCs w:val="32"/>
        </w:rPr>
        <w:t xml:space="preserve">2. Обозначения и постановка</w:t>
      </w:r>
      <w:bookmarkEnd w:id="100001"/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Состояние системы — вектор размерности 20: девять амплитуд a[9], восемь их первых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производных v[8] и три вторые производные dd[3]. Ограничения J1s·x = 0 — совокупность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уравнений башни и цепных связей; пролонгация d/dτ(J1s·x) = 0 с девятью неизвестными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(M5h′, ddT0, ddD0, ddQ, ddR1, ddR5, dddW2, dddR3, dddP4) даёт линейную систему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Uk·u = −Known·(v, dd). Совместность этой системы по правой части — скрытые условия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Op·(v, dd) = 0; многообразие M2 = ker[J1s; Op′] — множество состояний, согласованных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 ограничениями и их пролонгацией.</w:t>
      </w: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Постановка: доказать, что (а) y-пролонгация остатков тождественно равна τ-пролонгации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(закон не выбирается); (б) ранг Uk равен девяти — замыкание существует и единственно;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(в) скрытые условия имеют ранг пять, M2 двумерно; (г) эволюция на M2 задаётся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единственной матрицей B, выписать её точно и определить её жорданову структуру; (д)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показать, что альтернативные замыкания вырождены.</w:t>
      </w:r>
    </w:p>
    <w:p>
      <w:pPr>
        <w:pStyle w:val="Heading1"/>
        <w:spacing w:after="360" w:before="480" w:line="360"/>
        <w:jc w:val="center"/>
      </w:pPr>
      <w:bookmarkStart w:id="100002" w:name="_Toc100002"/>
      <w:r>
        <w:rPr>
          <w:rFonts w:ascii="Times New Roman" w:eastAsia="SimHei" w:hAnsi="Times New Roman"/>
          <w:b/>
          <w:bCs/>
          <w:color w:val="000000"/>
          <w:sz w:val="32"/>
          <w:szCs w:val="32"/>
        </w:rPr>
        <w:t xml:space="preserve">3. Формулировка теоремы</w:t>
      </w:r>
      <w:bookmarkEnd w:id="100002"/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Теорема 5 (о dd-замыкании и нильпотенте Иордана-2).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Для исправленной пролонгированной системы на статической цепочке:</w:t>
      </w: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(i)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обоснование закона точное: на очищенных формах d/dy = (1/s)·d/dτ (весовое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правило), y-пролонгация остатков совпадает с τ-пролонгацией, поэтому замыкание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выводится из тождеств (Бианки), а не выбирается;</w:t>
      </w: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(ii)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 базовой точке (κ = 2, τ* = 27/4) ранг пролонгационной матрицы rank Uk = 9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точно (поле Q(√3)): замыкание Uk·u = −Known·(v, dd) существует и единственно; скрытых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условий rank Op = 5; rank[J1s; Op′] = 17; индексная редукция проходит два уровня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(3 → 2);</w:t>
      </w: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(iii)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допустимое многообразие M2 двумерно (dim_M2 = 2), замыкание лежит в нём с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остатками 0.0 точно, и эволюция на M2 задаётся матрицей</w:t>
      </w:r>
    </w:p>
    <w:p>
      <w:pPr>
        <w:spacing w:after="80" w:before="0" w:line="360"/>
        <w:ind w:firstLine="480"/>
        <w:jc w:val="both"/>
      </w:pPr>
      <w:p>
        <w:pPr>
          <w:spacing w:after="120" w:before="120" w:line="360"/>
          <w:jc w:val="center"/>
        </w:pPr>
        <w:r>
          <w:rPr>
            <w:rFonts w:ascii="Courier New" w:eastAsia="SimSun" w:hAnsi="Courier New"/>
            <w:sz w:val="24"/>
            <w:szCs w:val="24"/>
          </w:rPr>
          <w:t xml:space="preserve">B = [[0, −350/61], [0, 0]],      B² = 0,      rank B = 1,      spec B = {0, 0}</w:t>
        </w:r>
      </w:p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— нильпотентным блоком Иордана-2: статика плюс линейный светской дрейф, без экспонент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и осцилляций; на однокирпичной точке та же структура воспроизведена численно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(‖B²‖ = 3.9×10⁻¹³, собственные значения ±2.5×10⁻⁷ — численный нуль дефектного блока);</w:t>
      </w: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(iv)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альтернативы вырождены: адиабатическое замыкание dd = 0 совместимо только с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замороженным множеством (общий фактор ветвей 4T0h² − 27, R1h свободен — одномерное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многообразие); потоки, прикованные к цепочке, дают единственную замкнутую точку —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замороженную; пролонгационное замыкание — единственное обоснованное.</w:t>
      </w:r>
    </w:p>
    <w:p>
      <w:pPr>
        <w:pStyle w:val="Heading1"/>
        <w:spacing w:after="360" w:before="480" w:line="360"/>
        <w:jc w:val="center"/>
      </w:pPr>
      <w:bookmarkStart w:id="100003" w:name="_Toc100003"/>
      <w:r>
        <w:rPr>
          <w:rFonts w:ascii="Times New Roman" w:eastAsia="SimHei" w:hAnsi="Times New Roman"/>
          <w:b/>
          <w:bCs/>
          <w:color w:val="000000"/>
          <w:sz w:val="32"/>
          <w:szCs w:val="32"/>
        </w:rPr>
        <w:t xml:space="preserve">4. Схема машинного доказательства</w:t>
      </w:r>
      <w:bookmarkEnd w:id="100003"/>
    </w:p>
    <w:p>
      <w:pPr>
        <w:pStyle w:val="Heading2"/>
        <w:spacing w:after="240" w:before="360" w:line="360"/>
      </w:pPr>
      <w:bookmarkStart w:id="100004" w:name="_Toc100004"/>
      <w:r>
        <w:rPr>
          <w:rFonts w:ascii="Times New Roman" w:eastAsia="SimHei" w:hAnsi="Times New Roman"/>
          <w:b/>
          <w:bCs/>
          <w:color w:val="000000"/>
          <w:sz w:val="30"/>
          <w:szCs w:val="30"/>
        </w:rPr>
        <w:t xml:space="preserve">4.1. Обоснование закона</w:t>
      </w:r>
      <w:bookmarkEnd w:id="100004"/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Слой B1 машины устанавливает цепочку обоснования: остатки суть бианки-редуцированные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уравнения Эйнштейна — тождества по y; y-пролонгация тождества остаётся тождеством;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на очищенных формах d/dy = (1/s)(d/dτ + вес), где весовой член факторизуется правилом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весов (монография №4); следовательно, τ-пролонгация остатков эквивалентна сохранению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ограничений, и закон эволюции dd есть единственное решение сохранения, а не выбор.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pure_form_exact = true и weight_rule_exact = true в вердикте фиксируют оба звена.</w:t>
      </w:r>
    </w:p>
    <w:p>
      <w:pPr>
        <w:pStyle w:val="Heading2"/>
        <w:spacing w:after="240" w:before="360" w:line="360"/>
      </w:pPr>
      <w:bookmarkStart w:id="100005" w:name="_Toc100005"/>
      <w:r>
        <w:rPr>
          <w:rFonts w:ascii="Times New Roman" w:eastAsia="SimHei" w:hAnsi="Times New Roman"/>
          <w:b/>
          <w:bCs/>
          <w:color w:val="000000"/>
          <w:sz w:val="30"/>
          <w:szCs w:val="30"/>
        </w:rPr>
        <w:t xml:space="preserve">4.2. Единственность замыкания</w:t>
      </w:r>
      <w:bookmarkEnd w:id="100005"/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Слой B2 в базовой точке собирает пролонгационную систему символически и лямбдифицирует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её в точной арифметике Q(√3): rank Uk = 9 при null-хвосте сингулярных чисел машинного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нуля; скрытые условия имеют ранг 5 (хвост 10⁻¹⁴–10⁻¹⁶ в численном контроле кирпичной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точки); rank[J1s; Op′] = 17 при 20-мерном состоянии, что оставляет dim M2 = 2.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Индексный анализ: нарушение уровня 3 имеет ранг 1, уровня 4 — ранг 0; две итерации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редукции приводят систему к индексу 2. Замыкание, решённое в M2, даёт векторы с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остатками closure_in_M = (0.0, 0.0) точно.</w:t>
      </w:r>
    </w:p>
    <w:p>
      <w:pPr>
        <w:pStyle w:val="Heading2"/>
        <w:spacing w:after="240" w:before="360" w:line="360"/>
      </w:pPr>
      <w:bookmarkStart w:id="100006" w:name="_Toc100006"/>
      <w:r>
        <w:rPr>
          <w:rFonts w:ascii="Times New Roman" w:eastAsia="SimHei" w:hAnsi="Times New Roman"/>
          <w:b/>
          <w:bCs/>
          <w:color w:val="000000"/>
          <w:sz w:val="30"/>
          <w:szCs w:val="30"/>
        </w:rPr>
        <w:t xml:space="preserve">4.3. Нильпотент и альтернативы</w:t>
      </w:r>
      <w:bookmarkEnd w:id="100006"/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Матрица B получена в замкнутой форме и проверена точно: B² = 0, rank B = 1,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собственные значения {0} — классический дефектный блок Иордана-2. Слой B4 перебирает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альтернативы: (C0) адиабатика dd = 0 совместима только на замороженном множестве, где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ветви UV_ξ3 и Mdef_ξ5 делят общий фактор 4T0h² − 27 (см. (3.1) монографии №3);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(C-chain) потоки с d(цепочка)/dτ = 0 замыкаются только в замороженной точке (сессия 13,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честная цитата); (C-prolongation) — единственная обоснованная альтернатива, она и есть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наша теорема.</w:t>
      </w:r>
    </w:p>
    <w:p>
      <w:pPr>
        <w:tabs>
          <w:tab w:val="center" w:pos="4300"/>
          <w:tab w:val="right" w:pos="8700"/>
        </w:tabs>
        <w:spacing w:after="120" w:before="120" w:line="360"/>
      </w:pPr>
      <w:r>
        <w:t xml:space="preserve">	</w:t>
      </w:r>
      <w:r>
        <w:drawing>
          <wp:inline distT="0" distB="0" distL="0" distR="0">
            <wp:extent cx="4095750" cy="228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SimSun" w:hAnsi="Times New Roman"/>
          <w:sz w:val="24"/>
          <w:szCs w:val="24"/>
        </w:rPr>
        <w:t xml:space="preserve">	(5.1)</w:t>
      </w: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Разложение (5.1) — ветви замороженного множества: вне фактора 4T0h² − 27 адиабатика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несовместима с ограничениями, поэтому «заморозка» не является динамикой, а единственная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живая динамика — пролонгационная.</w:t>
      </w:r>
    </w:p>
    <w:p>
      <w:pPr>
        <w:pStyle w:val="Heading1"/>
        <w:spacing w:after="360" w:before="480" w:line="360"/>
        <w:jc w:val="center"/>
      </w:pPr>
      <w:bookmarkStart w:id="100007" w:name="_Toc100007"/>
      <w:r>
        <w:rPr>
          <w:rFonts w:ascii="Times New Roman" w:eastAsia="SimHei" w:hAnsi="Times New Roman"/>
          <w:b/>
          <w:bCs/>
          <w:color w:val="000000"/>
          <w:sz w:val="32"/>
          <w:szCs w:val="32"/>
        </w:rPr>
        <w:t xml:space="preserve">5. Числовые результаты</w:t>
      </w:r>
      <w:bookmarkEnd w:id="100007"/>
    </w:p>
    <w:p>
      <w:pPr>
        <w:keepNext/>
        <w:spacing w:after="60" w:before="200" w:line="360"/>
        <w:jc w:val="center"/>
      </w:pPr>
      <w:r>
        <w:rPr>
          <w:rFonts w:ascii="Times New Roman" w:eastAsia="SimSun" w:hAnsi="Times New Roman"/>
          <w:sz w:val="21"/>
          <w:szCs w:val="21"/>
        </w:rPr>
        <w:t xml:space="preserve">Таблица 5.1. Ранговая структура dd-замыкания (базовая точка κ = 2, точно; кирпич — численно)</w:t>
      </w:r>
    </w:p>
    <w:tbl>
      <w:tblPr>
        <w:tblW w:type="pct" w:w="5000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515"/>
        <w:gridCol w:w="2461"/>
        <w:gridCol w:w="2812"/>
      </w:tblGrid>
      <w:tr>
        <w:trPr>
          <w:cantSplit/>
          <w:tblHeader/>
        </w:trPr>
        <w:tc>
          <w:tcPr>
            <w:tcW w:type="pct" w:w="200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Величина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κ = 2 (EXACT)</w:t>
            </w:r>
          </w:p>
        </w:tc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κ = 2 − π²/98 (float64)</w:t>
            </w:r>
          </w:p>
        </w:tc>
      </w:tr>
      <w:tr>
        <w:trPr>
          <w:cantSplit/>
        </w:trPr>
        <w:tc>
          <w:tcPr>
            <w:tcW w:type="pct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τ*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6.7500000000000000000</w:t>
            </w:r>
          </w:p>
        </w:tc>
        <w:tc>
          <w:tcPr>
            <w:tcW w:type="pct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7.1079202069226305031</w:t>
            </w:r>
          </w:p>
        </w:tc>
      </w:tr>
      <w:tr>
        <w:trPr>
          <w:cantSplit/>
        </w:trPr>
        <w:tc>
          <w:tcPr>
            <w:tcW w:type="pct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rank Uk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9</w:t>
            </w:r>
          </w:p>
        </w:tc>
        <w:tc>
          <w:tcPr>
            <w:tcW w:type="pct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9 (хвост 2.9×10⁻²…)</w:t>
            </w:r>
          </w:p>
        </w:tc>
      </w:tr>
      <w:tr>
        <w:trPr>
          <w:cantSplit/>
        </w:trPr>
        <w:tc>
          <w:tcPr>
            <w:tcW w:type="pct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rank Op (скрытые)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5</w:t>
            </w:r>
          </w:p>
        </w:tc>
        <w:tc>
          <w:tcPr>
            <w:tcW w:type="pct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5 (хвост 5.5×10⁻¹⁶)</w:t>
            </w:r>
          </w:p>
        </w:tc>
      </w:tr>
      <w:tr>
        <w:trPr>
          <w:cantSplit/>
        </w:trPr>
        <w:tc>
          <w:tcPr>
            <w:tcW w:type="pct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rank[J1s; Op′]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17</w:t>
            </w:r>
          </w:p>
        </w:tc>
        <w:tc>
          <w:tcPr>
            <w:tcW w:type="pct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17</w:t>
            </w:r>
          </w:p>
        </w:tc>
      </w:tr>
      <w:tr>
        <w:trPr>
          <w:cantSplit/>
        </w:trPr>
        <w:tc>
          <w:tcPr>
            <w:tcW w:type="pct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dim M2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2</w:t>
            </w:r>
          </w:p>
        </w:tc>
        <w:tc>
          <w:tcPr>
            <w:tcW w:type="pct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2</w:t>
            </w:r>
          </w:p>
        </w:tc>
      </w:tr>
      <w:tr>
        <w:trPr>
          <w:cantSplit/>
        </w:trPr>
        <w:tc>
          <w:tcPr>
            <w:tcW w:type="pct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остаток замыкания в M2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0.0 / 0.0</w:t>
            </w:r>
          </w:p>
        </w:tc>
        <w:tc>
          <w:tcPr>
            <w:tcW w:type="pct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1.9×10⁻¹³ / 5.9×10⁻¹⁴</w:t>
            </w:r>
          </w:p>
        </w:tc>
      </w:tr>
      <w:tr>
        <w:trPr>
          <w:cantSplit/>
        </w:trPr>
        <w:tc>
          <w:tcPr>
            <w:tcW w:type="pct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‖B²‖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0 точно</w:t>
            </w:r>
          </w:p>
        </w:tc>
        <w:tc>
          <w:tcPr>
            <w:tcW w:type="pct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3.9×10⁻¹³</w:t>
            </w:r>
          </w:p>
        </w:tc>
      </w:tr>
      <w:tr>
        <w:trPr>
          <w:cantSplit/>
        </w:trPr>
        <w:tc>
          <w:tcPr>
            <w:tcW w:type="pct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spec B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{0, 0}</w:t>
            </w:r>
          </w:p>
        </w:tc>
        <w:tc>
          <w:tcPr>
            <w:tcW w:type="pct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±2.5×10⁻⁷ (дефектный)</w:t>
            </w:r>
          </w:p>
        </w:tc>
      </w:tr>
    </w:tbl>
    <w:p>
      <w:pPr>
        <w:spacing w:after="120" w:line="240"/>
      </w:pP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Численный столбец — честный контроль: структура воспроизводится в float64 с чистыми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зазорами сингулярных чисел; собственные значения ±2.5×10⁻⁷ — типичный численный след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дефектного нуля, не физическая пара мод. Дополнительные марши (march_delta_mono)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измеряют светской рост по двум независимым реализациям замыкания: наклон log-log → 1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(линейная светскость Иордана-2), δ_mono &lt; 2.8×10⁻¹⁴ за эхо.</w:t>
      </w:r>
    </w:p>
    <w:p>
      <w:pPr>
        <w:pStyle w:val="Heading1"/>
        <w:spacing w:after="360" w:before="480" w:line="360"/>
        <w:jc w:val="center"/>
      </w:pPr>
      <w:bookmarkStart w:id="100008" w:name="_Toc100008"/>
      <w:r>
        <w:rPr>
          <w:rFonts w:ascii="Times New Roman" w:eastAsia="SimHei" w:hAnsi="Times New Roman"/>
          <w:b/>
          <w:bCs/>
          <w:color w:val="000000"/>
          <w:sz w:val="32"/>
          <w:szCs w:val="32"/>
        </w:rPr>
        <w:t xml:space="preserve">6. Следствия</w:t>
      </w:r>
      <w:bookmarkEnd w:id="100008"/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Следствие 5.1 (δ_mono = 0 линейно).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Замкнутая линейная динамика на M2 — нильпотент Иордана-2: за эхо возможен только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светской дрейф, монодромный сдвиг фазы отсутствует. Всякий остаток «барионной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асимметрии» (~2.9% к π/30) обязан быть конечно-амплитудным — программа v14–v15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построена именно на этом разделении.</w:t>
      </w: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Следствие 5.2 (закон выведен).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Слаи B1–B2 закрывают методический пробел v13: dd-закон больше не «прецедент», а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теорема. Совместно с правилом весов (монография №4) это делает всю де-адиабатизованную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систему выводимой из тождеств, без единой подгоночной константы.</w:t>
      </w: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Следствие 5.3 (заготовка марш-теоремы).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Двумерность M2 и точная форма B — входные данные нелинейного марша v15: линейная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картина известна точно, поэтому любое отклонение при конечной амплитуде атрибутируется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нелинейности, а не линеаризации (монография №6).</w:t>
      </w:r>
    </w:p>
    <w:p>
      <w:pPr>
        <w:pStyle w:val="Heading1"/>
        <w:spacing w:after="360" w:before="480" w:line="360"/>
        <w:jc w:val="center"/>
      </w:pPr>
      <w:bookmarkStart w:id="100009" w:name="_Toc100009"/>
      <w:r>
        <w:rPr>
          <w:rFonts w:ascii="Times New Roman" w:eastAsia="SimHei" w:hAnsi="Times New Roman"/>
          <w:b/>
          <w:bCs/>
          <w:color w:val="000000"/>
          <w:sz w:val="32"/>
          <w:szCs w:val="32"/>
        </w:rPr>
        <w:t xml:space="preserve">7. Честные оговорки</w:t>
      </w:r>
      <w:bookmarkEnd w:id="100009"/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Точный столбец таблицы 5.1 относится к базовой точке; на кирпиче структура установлена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численно (float64) с чистыми зазорами, символьная версия для κ = 2 − π²/98 не строилась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— поле Q(π) существенно дороже, и двухточечная корреляция (теорема 2) считается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достаточным контролем. Усечение башни: теорема описывает динамику усечённой системы с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выведенным dd-законом; усиление башни меняет размерности (9 пролонгационных неизвестных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— следствие усечения) и требует пересборки. Пуассоновы ветви у мягкого полюса 45/8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могут менять представление цепочки; замыкание построено в T1c-форме источников.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Наконец, δ_mono измерен маршевым протоколом до 10⁻¹⁴ за эхо; меньше — предел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представления float64, не физика.</w:t>
      </w:r>
    </w:p>
    <w:p>
      <w:pPr>
        <w:pStyle w:val="Heading1"/>
        <w:spacing w:after="360" w:before="480" w:line="360"/>
        <w:jc w:val="center"/>
      </w:pPr>
      <w:bookmarkStart w:id="100010" w:name="_Toc100010"/>
      <w:r>
        <w:rPr>
          <w:rFonts w:ascii="Times New Roman" w:eastAsia="SimHei" w:hAnsi="Times New Roman"/>
          <w:b/>
          <w:bCs/>
          <w:color w:val="000000"/>
          <w:sz w:val="32"/>
          <w:szCs w:val="32"/>
        </w:rPr>
        <w:t xml:space="preserve">8. Воспроизводимость</w:t>
      </w:r>
      <w:bookmarkEnd w:id="100010"/>
    </w:p>
    <w:p>
      <w:pPr>
        <w:keepNext/>
        <w:spacing w:after="60" w:before="200" w:line="360"/>
        <w:jc w:val="center"/>
      </w:pPr>
      <w:r>
        <w:rPr>
          <w:rFonts w:ascii="Times New Roman" w:eastAsia="SimSun" w:hAnsi="Times New Roman"/>
          <w:sz w:val="21"/>
          <w:szCs w:val="21"/>
        </w:rPr>
        <w:t xml:space="preserve">Таблица 5.2. Протокол воспроизведения теоремы 5</w:t>
      </w:r>
    </w:p>
    <w:tbl>
      <w:tblPr>
        <w:tblW w:type="pct" w:w="5000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9"/>
        <w:gridCol w:w="3691"/>
        <w:gridCol w:w="4218"/>
      </w:tblGrid>
      <w:tr>
        <w:trPr>
          <w:cantSplit/>
          <w:tblHeader/>
        </w:trPr>
        <w:tc>
          <w:tcPr>
            <w:tcW w:type="pct" w:w="50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Шаг</w:t>
            </w:r>
          </w:p>
        </w:tc>
        <w:tc>
          <w:tcPr>
            <w:tcW w:type="pct" w:w="210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Команда</w:t>
            </w:r>
          </w:p>
        </w:tc>
        <w:tc>
          <w:tcPr>
            <w:tcW w:type="pct" w:w="240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Результат</w:t>
            </w:r>
          </w:p>
        </w:tc>
      </w:tr>
      <w:tr>
        <w:trPr>
          <w:cantSplit/>
        </w:trPr>
        <w:tc>
          <w:tcPr>
            <w:tcW w:type="pct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1</w:t>
            </w:r>
          </w:p>
        </w:tc>
        <w:tc>
          <w:tcPr>
            <w:tcW w:type="pct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python3 sympy_dd_closure.py</w:t>
            </w:r>
          </w:p>
        </w:tc>
        <w:tc>
          <w:tcPr>
            <w:tcW w:type="pct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results/dd_closure.json (слои B1–B4, B-матрица)</w:t>
            </w:r>
          </w:p>
        </w:tc>
      </w:tr>
      <w:tr>
        <w:trPr>
          <w:cantSplit/>
        </w:trPr>
        <w:tc>
          <w:tcPr>
            <w:tcW w:type="pct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2</w:t>
            </w:r>
          </w:p>
        </w:tc>
        <w:tc>
          <w:tcPr>
            <w:tcW w:type="pct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python3 sympy_third_order.py</w:t>
            </w:r>
          </w:p>
        </w:tc>
        <w:tc>
          <w:tcPr>
            <w:tcW w:type="pct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results/third_order_tables.json (весовое правило)</w:t>
            </w:r>
          </w:p>
        </w:tc>
      </w:tr>
      <w:tr>
        <w:trPr>
          <w:cantSplit/>
        </w:trPr>
        <w:tc>
          <w:tcPr>
            <w:tcW w:type="pct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3</w:t>
            </w:r>
          </w:p>
        </w:tc>
        <w:tc>
          <w:tcPr>
            <w:tcW w:type="pct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python3 march_delta_mono.py</w:t>
            </w:r>
          </w:p>
        </w:tc>
        <w:tc>
          <w:tcPr>
            <w:tcW w:type="pct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results/march_delta_mono.json (δ_mono двумя маршами)</w:t>
            </w:r>
          </w:p>
        </w:tc>
      </w:tr>
      <w:tr>
        <w:trPr>
          <w:cantSplit/>
        </w:trPr>
        <w:tc>
          <w:tcPr>
            <w:tcW w:type="pct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4</w:t>
            </w:r>
          </w:p>
        </w:tc>
        <w:tc>
          <w:tcPr>
            <w:tcW w:type="pct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python3 -m pytest tests/ -q</w:t>
            </w:r>
          </w:p>
        </w:tc>
        <w:tc>
          <w:tcPr>
            <w:tcW w:type="pct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58 passed (тесты замыкания включены)</w:t>
            </w:r>
          </w:p>
        </w:tc>
      </w:tr>
    </w:tbl>
    <w:p>
      <w:pPr>
        <w:spacing w:after="120" w:line="240"/>
      </w:pP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Время исполнения — 35.6 c (runtime_s) для шага 1 на обычном ноутбуке; машины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однопоточные. Данные соответствуют коммиту 5b256cd; автономная копия — в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einstein_direct/open9/machines/.</w:t>
      </w:r>
    </w:p>
    <w:p>
      <w:pPr>
        <w:pStyle w:val="Heading1"/>
        <w:spacing w:after="360" w:before="480" w:line="360"/>
        <w:jc w:val="center"/>
      </w:pPr>
      <w:bookmarkStart w:id="100011" w:name="_Toc100011"/>
      <w:r>
        <w:rPr>
          <w:rFonts w:ascii="Times New Roman" w:eastAsia="SimHei" w:hAnsi="Times New Roman"/>
          <w:b/>
          <w:bCs/>
          <w:color w:val="000000"/>
          <w:sz w:val="32"/>
          <w:szCs w:val="32"/>
        </w:rPr>
        <w:t xml:space="preserve">Список источников</w:t>
      </w:r>
      <w:bookmarkEnd w:id="100011"/>
    </w:p>
    <w:p>
      <w:pPr>
        <w:spacing w:after="60" w:line="360"/>
        <w:ind w:left="420" w:hanging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[1] Репозиторий wild8highlander/choptuik_ac_bc: einstein_direct/sympy_dd_closure.py; einstein_direct/results/dd_closure.json (кампания v14, сеанс 18b, LEDGER §25).</w:t>
      </w:r>
    </w:p>
    <w:p>
      <w:pPr>
        <w:spacing w:after="60" w:line="360"/>
        <w:ind w:left="420" w:hanging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[2] Там же: einstein_direct/sympy_third_order.py; einstein_direct/results/third_order_tables.json (правило весов).</w:t>
      </w:r>
    </w:p>
    <w:p>
      <w:pPr>
        <w:spacing w:after="60" w:line="360"/>
        <w:ind w:left="420" w:hanging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[3] Там же: einstein_direct/march_delta_mono.py; einstein_direct/results/march_delta_mono.json (два независимых марша).</w:t>
      </w:r>
    </w:p>
    <w:p>
      <w:pPr>
        <w:spacing w:after="60" w:line="360"/>
        <w:ind w:left="420" w:hanging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[4] Там же: einstein_direct/dae_nonlinear_core.py; einstein_direct/results/march_dae_nonlinear.json (нелинейное продолжение, v15).</w:t>
      </w:r>
    </w:p>
    <w:p>
      <w:pPr>
        <w:spacing w:after="60" w:line="360"/>
        <w:ind w:left="420" w:hanging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[5] Монографии №1, №4, №6 цикла theorems12.</w:t>
      </w:r>
    </w:p>
    <w:sectPr>
      <w:headerReference w:type="default" r:id="rId10"/>
      <w:footerReference w:type="default" r:id="rId11"/>
      <w:type w:val="nextPage"/>
      <w:pgSz w:w="11906" w:h="16838" w:orient="portrait"/>
      <w:pgMar w:top="1440" w:right="1417" w:bottom="1440" w:left="1701" w:header="850" w:footer="992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 w:hAnsi="Times New Roman"/>
        <w:sz w:val="21"/>
        <w:szCs w:val="21"/>
      </w:rPr>
      <w:t xml:space="preserve">- </w:t>
    </w:r>
    <w:r>
      <w:rPr>
        <w:rFonts w:ascii="Times New Roman" w:eastAsia="SimSun" w:hAnsi="Times New Roman"/>
        <w:sz w:val="21"/>
        <w:szCs w:val="21"/>
      </w:rPr>
      <w:fldChar w:fldCharType="begin"/>
      <w:instrText xml:space="preserve"> PAGE \* ROMAN \* MERGEFORMAT </w:instrText>
      <w:fldChar w:fldCharType="separate"/>
      <w:fldChar w:fldCharType="end"/>
    </w:r>
    <w:r>
      <w:rPr>
        <w:rFonts w:ascii="Times New Roman" w:eastAsia="SimSun" w:hAnsi="Times New Roman"/>
        <w:sz w:val="21"/>
        <w:szCs w:val="21"/>
      </w:rPr>
      <w:t xml:space="preserve"> -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 w:hAnsi="Times New Roman"/>
        <w:sz w:val="21"/>
        <w:szCs w:val="21"/>
      </w:rPr>
      <w:t xml:space="preserve">- </w:t>
    </w:r>
    <w:r>
      <w:rPr>
        <w:rFonts w:ascii="Times New Roman" w:eastAsia="SimSun" w:hAnsi="Times New Roman"/>
        <w:sz w:val="21"/>
        <w:szCs w:val="21"/>
      </w:rPr>
      <w:fldChar w:fldCharType="begin"/>
      <w:instrText xml:space="preserve"> PAGE \* arabic \* MERGEFORMAT </w:instrText>
      <w:fldChar w:fldCharType="separate"/>
      <w:fldChar w:fldCharType="end"/>
    </w:r>
    <w:r>
      <w:rPr>
        <w:rFonts w:ascii="Times New Roman" w:eastAsia="SimSun" w:hAnsi="Times New Roman"/>
        <w:sz w:val="21"/>
        <w:szCs w:val="21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1"/>
      </w:pBdr>
      <w:spacing w:after="60"/>
      <w:jc w:val="center"/>
    </w:pPr>
    <w:r>
      <w:rPr>
        <w:rFonts w:ascii="Times New Roman" w:eastAsia="SimSun" w:hAnsi="Times New Roman"/>
        <w:color w:val="333333"/>
        <w:sz w:val="18"/>
        <w:szCs w:val="18"/>
      </w:rPr>
      <w:t xml:space="preserve">theorems12 · Монография 05 · Теорема о dd-замыкании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1"/>
      </w:pBdr>
      <w:spacing w:after="60"/>
      <w:jc w:val="center"/>
    </w:pPr>
    <w:r>
      <w:rPr>
        <w:rFonts w:ascii="Times New Roman" w:eastAsia="SimSun" w:hAnsi="Times New Roman"/>
        <w:color w:val="333333"/>
        <w:sz w:val="18"/>
        <w:szCs w:val="18"/>
      </w:rPr>
      <w:t xml:space="preserve">theorems12 · Монография 05 · Теорема о dd-замыкании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/>
        <w:color w:val="000000"/>
        <w:sz w:val="24"/>
        <w:szCs w:val="24"/>
      </w:rPr>
    </w:rPrDefault>
    <w:pPrDefault>
      <w:pPr>
        <w:spacing w:line="36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360" w:before="480" w:line="360"/>
      <w:jc w:val="center"/>
      <w:outlineLvl w:val="0"/>
    </w:pPr>
    <w:rPr>
      <w:rFonts w:ascii="Times New Roman" w:eastAsia="SimHei" w:hAnsi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40" w:before="360" w:line="360"/>
      <w:outlineLvl w:val="1"/>
    </w:pPr>
    <w:rPr>
      <w:rFonts w:ascii="Times New Roman" w:eastAsia="SimHei" w:hAnsi="Times New Roman"/>
      <w:b/>
      <w:bCs/>
      <w:color w:val="000000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 w:line="360"/>
      <w:outlineLvl w:val="2"/>
    </w:pPr>
    <w:rPr>
      <w:rFonts w:ascii="Times New Roman" w:eastAsia="SimHei" w:hAnsi="Times New Roman"/>
      <w:b/>
      <w:bCs/>
      <w:color w:val="000000"/>
      <w:sz w:val="28"/>
      <w:szCs w:val="28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theme" Target="theme/theme1.xml"/><Relationship Id="rId13" Type="http://schemas.openxmlformats.org/officeDocument/2006/relationships/image" Target="media/70ef8995ecb9b224393aca179e3781f0d8719ad6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Теорема о dd-замыкании: единственность пролонгации и нильпотент Иордана-2</dc:title>
  <dc:creator>Ishak Khamzatovich Isaev (wild8highlander)</dc:creator>
  <dc:description>theorems12 monograph series</dc:description>
  <cp:lastModifiedBy>Un-named</cp:lastModifiedBy>
  <cp:revision>1</cp:revision>
  <dcterms:created xsi:type="dcterms:W3CDTF">2026-09-29T16:29:37.303Z</dcterms:created>
  <dcterms:modified xsi:type="dcterms:W3CDTF">2026-09-29T16:29:37.303Z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