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pBdr>
                <w:top w:val="single" w:color="C9A84C" w:sz="18" w:space="20"/>
              </w:pBdr>
              <w:spacing w:after="200" w:before="1200"/>
              <w:ind w:left="1000" w:right="1000"/>
            </w:pPr>
          </w:p>
          <w:p>
            <w:pPr>
              <w:spacing w:before="1800"/>
            </w:pPr>
          </w:p>
          <w:p>
            <w:pPr>
              <w:spacing w:after="500"/>
              <w:jc w:val="center"/>
            </w:pPr>
            <w:r>
              <w:rPr>
                <w:rFonts w:ascii="Calibri" w:hAnsi="Calibri"/>
                <w:color w:val="C9A84C"/>
                <w:spacing w:val="40"/>
                <w:sz w:val="18"/>
                <w:szCs w:val="18"/>
              </w:rPr>
              <w:t xml:space="preserve">E  N  C  Y  C  L  O  P  E  D  I  C     A  P  P  E  N  D  I  X</w:t>
            </w:r>
          </w:p>
          <w:p>
            <w:pPr>
              <w:spacing w:after="80" w:line="920" w:lineRule="atLeast"/>
              <w:jc w:val="center"/>
            </w:pPr>
            <w:r>
              <w:rPr>
                <w:rFonts w:ascii="Times New Roman" w:hAnsi="Times New Roman"/>
                <w:b/>
                <w:bCs/>
                <w:color w:val="FFFFFF"/>
                <w:sz w:val="80"/>
                <w:szCs w:val="80"/>
              </w:rPr>
              <w:t xml:space="preserve">Энциклопедическое</w:t>
            </w:r>
          </w:p>
          <w:p>
            <w:pPr>
              <w:spacing w:after="80" w:line="920" w:lineRule="atLeast"/>
              <w:jc w:val="center"/>
            </w:pPr>
            <w:r>
              <w:rPr>
                <w:rFonts w:ascii="Times New Roman" w:hAnsi="Times New Roman"/>
                <w:b/>
                <w:bCs/>
                <w:color w:val="FFFFFF"/>
                <w:sz w:val="80"/>
                <w:szCs w:val="80"/>
              </w:rPr>
              <w:t xml:space="preserve">приложение к</w:t>
            </w:r>
          </w:p>
          <w:p>
            <w:pPr>
              <w:spacing w:after="300" w:line="920" w:lineRule="atLeast"/>
              <w:jc w:val="center"/>
            </w:pPr>
            <w:r>
              <w:rPr>
                <w:rFonts w:ascii="Times New Roman" w:hAnsi="Times New Roman"/>
                <w:b/>
                <w:bCs/>
                <w:color w:val="FFFFFF"/>
                <w:sz w:val="80"/>
                <w:szCs w:val="80"/>
              </w:rPr>
              <w:t xml:space="preserve">монографии</w:t>
            </w:r>
          </w:p>
          <w:p>
            <w:pPr>
              <w:spacing w:after="800" w:line="340" w:lineRule="atLeast"/>
              <w:jc w:val="center"/>
            </w:pPr>
            <w:r>
              <w:rPr>
                <w:rFonts w:ascii="Times New Roman" w:hAnsi="Times New Roman"/>
                <w:color w:val="B0B8C0"/>
                <w:sz w:val="24"/>
                <w:szCs w:val="24"/>
              </w:rPr>
              <w:t xml:space="preserve">Мост «Коллапс–Хокинг»: константы, движок, кампании, термодинамика, данные и воспроизведение</w:t>
            </w:r>
          </w:p>
          <w:p>
            <w:pPr>
              <w:spacing w:before="600"/>
            </w:pPr>
          </w:p>
          <w:p>
            <w:pPr>
              <w:spacing w:after="120"/>
              <w:jc w:val="center"/>
            </w:pPr>
            <w:r>
              <w:rPr>
                <w:rFonts w:ascii="Times New Roman" w:hAnsi="Times New Roman"/>
                <w:color w:val="90989F"/>
                <w:sz w:val="26"/>
                <w:szCs w:val="26"/>
              </w:rPr>
              <w:t xml:space="preserve">Пакет: Collapse-Hawking Bridge v2.1.0 (издание согласования с IVP-15)</w:t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/>
                <w:color w:val="90989F"/>
                <w:sz w:val="26"/>
                <w:szCs w:val="26"/>
              </w:rPr>
              <w:t xml:space="preserve">Кампании: C1 · C2 · C3 · C3b · C6 (закон дрейфа)</w:t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/>
                <w:color w:val="90989F"/>
                <w:sz w:val="26"/>
                <w:szCs w:val="26"/>
              </w:rPr>
              <w:t xml:space="preserve">Издание: русская редакция · DOCX + PDF · 2026</w:t>
            </w:r>
          </w:p>
          <w:p>
            <w:pPr>
              <w:spacing w:before="1400"/>
            </w:pPr>
          </w:p>
          <w:p>
            <w:pPr>
              <w:pBdr>
                <w:bottom w:val="single" w:color="C9A84C" w:sz="18" w:space="20"/>
              </w:pBdr>
              <w:spacing w:after="120" w:before="200"/>
              <w:ind w:left="1000" w:right="1000"/>
            </w:pPr>
          </w:p>
          <w:p>
            <w:pPr>
              <w:spacing w:before="120"/>
              <w:jc w:val="center"/>
            </w:pPr>
            <w:r>
              <w:rPr>
                <w:rFonts w:ascii="Times New Roman" w:hAnsi="Times New Roman"/>
                <w:color w:val="687078"/>
                <w:sz w:val="18"/>
                <w:szCs w:val="18"/>
              </w:rPr>
              <w:t xml:space="preserve">Collapse-Hawking Bridge v2.1.0 · Энциклопедическое приложение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 w:line="400" w:lineRule="atLeast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Оглавление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Примечание: оглавление построено на кодах полей. После правок щёлкните по оглавлению правой кнопкой и выберите «Обновить поле», чтобы обновить номера страниц.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pBdr>
          <w:bottom w:val="single" w:color="C9A84C" w:sz="4" w:space="6"/>
        </w:pBdr>
        <w:spacing w:after="180" w:before="400" w:line="400" w:lineRule="atLeast"/>
      </w:pPr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Часть I. О приложении: назначение, источники, способ чтения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Настоящее приложение — энциклопедический свод исследовательского пакета Collapse-Hawking Bridge v2.1.0: полный справочник по константам, движку, кампаниям, мосту «коллапс → чёрная дыра → термодинамика Хокинга», данным, фигурам, кодам и воспроизведению. Оно построено как самодостаточный документ: читатель, у которого под рукой нет ZIP-архива, получает здесь все ключевые числа и все протоколы; читатель с архивом получает точные указатели, где что лежит и как это перегенерировать. Формулировки теорем даны в сжатом виде — полные доказательства вынесены в отдельный том «Теоремы моста „Коллапс–Хокинг“» (часть VI настоящего приложения служит мостом между ними). Настоящее издание — выпуск согласования с независимой верификацией IVP-15: каждое число сверено с результатами независимого исследования и дрейфовой кампанией C6.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Три источника определяют содержание. Первый — вердикты кампаний C1, C2, C3, C3b и C6 (campaigns/reference/*.json): C1 воспроизводит критическую лестницу и спектр рождения, C2 измеряет обе ветви порога, C3 — якорное произведение Δ·γ, C3b — закон пола на концентрированных сетках, C6 — закон дрейфа с разрешением (теорема T10). Все четыре движковые кампании повторно прогнаны на v2.1.0 на выпусковой машине и дали физику, байт-идентичную зафиксированной; C6 детерминирована и читает только зафиксированные артефакты. Второй источник — 13 производных таблиц data/bridge/, байт-детерминированно собираемых скриптом rebuild_data.py. Третий — замкнутые формы термодинамики Хокинга в chbridge/, проверенные mpmath при dps=50 и продублированные близнецами на трёх языках. Независимый протокол IVP-15 (independent_verification/) удерживает весь пакет на внешнем источнике истины; его находки F-1/F-2/F-3 устранены на 2.0.1, и настоящее издание цитирует только исправленные числа.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Способ чтения: части II–V последовательны (константы → движок → кампании → мост) и образуют основное повествование; части VI–XIII справочные (теоремы, словарь данных, каталог фигур, коды, воспроизведение, роадмап, глоссарий, FAQ) и рассчитаны на точечные обращения. Русская и английская редакции настоящего приложения содержательно идентичны; все фигуры существуют в обеих языковых версиях, поэтому ссылки на рисунки работают в обеих редакциях с точностью до подписей.</w:t>
      </w:r>
    </w:p>
    <w:p>
      <w:pPr>
        <w:pStyle w:val="Heading1"/>
        <w:pBdr>
          <w:bottom w:val="single" w:color="C9A84C" w:sz="4" w:space="6"/>
        </w:pBdr>
        <w:spacing w:after="180" w:before="400" w:line="400" w:lineRule="atLeast"/>
      </w:pPr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Часть II. Константы и единицы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Пакет держит единственный источник констант — chbridge/constants.py, разделённый на три части: физические константы и планковские единицы (Part A), якоря движковой стороны — точные константы септинного семейства и литературные якоря критического коллапса (Part B), машинные вердикты кампаний (Part C). Ниже приведены сводные таблицы всех трёх частей; каждая величина воспроизводится тестами, а точные — дополнительно проверкой mpmath.</w:t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Таблица II.1. Физические константы (CODATA-2018) и космология (Planck-2018)</w:t>
      </w:r>
    </w:p>
    <w:tbl>
      <w:tblPr>
        <w:tblW w:type="pct" w:w="100%"/>
        <w:tblBorders>
          <w:top w:val="single" w:color="C9A84C" w:sz="6"/>
          <w:left w:val="none" w:color="FFFFFF" w:sz="0"/>
          <w:bottom w:val="single" w:color="C9A84C" w:sz="6"/>
          <w:right w:val="none" w:color="FFFFFF" w:sz="0"/>
          <w:insideH w:val="single" w:color="DDD5C0" w:sz="2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4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Величина</w:t>
            </w:r>
          </w:p>
        </w:tc>
        <w:tc>
          <w:tcPr>
            <w:tcW w:type="pct" w:w="14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Обозначение</w:t>
            </w:r>
          </w:p>
        </w:tc>
        <w:tc>
          <w:tcPr>
            <w:tcW w:type="pct" w:w="32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Значение</w:t>
            </w:r>
          </w:p>
        </w:tc>
        <w:tc>
          <w:tcPr>
            <w:tcW w:type="pct" w:w="20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Гравитационная постоянная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G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6,67430e-11 м³·кг⁻¹·с⁻²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измерена</w:t>
            </w:r>
          </w:p>
        </w:tc>
      </w:tr>
      <w:tr>
        <w:trPr>
          <w:cantSplit/>
        </w:trPr>
        <w:tc>
          <w:tcPr>
            <w:tcW w:type="pct" w:w="3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Скорость света</w:t>
            </w:r>
          </w:p>
        </w:tc>
        <w:tc>
          <w:tcPr>
            <w:tcW w:type="pct" w:w="1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pct" w:w="32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299792458 м/с</w:t>
            </w:r>
          </w:p>
        </w:tc>
        <w:tc>
          <w:tcPr>
            <w:tcW w:type="pct" w:w="2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точно (SI)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Постоянная Планка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h / ħ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6,62607015e-34 Дж·с / h/2π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точно (SI)</w:t>
            </w:r>
          </w:p>
        </w:tc>
      </w:tr>
      <w:tr>
        <w:trPr>
          <w:cantSplit/>
        </w:trPr>
        <w:tc>
          <w:tcPr>
            <w:tcW w:type="pct" w:w="3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Постоянная Больцмана</w:t>
            </w:r>
          </w:p>
        </w:tc>
        <w:tc>
          <w:tcPr>
            <w:tcW w:type="pct" w:w="1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k_B</w:t>
            </w:r>
          </w:p>
        </w:tc>
        <w:tc>
          <w:tcPr>
            <w:tcW w:type="pct" w:w="32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1,380649e-23 Дж/К</w:t>
            </w:r>
          </w:p>
        </w:tc>
        <w:tc>
          <w:tcPr>
            <w:tcW w:type="pct" w:w="2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точно (SI)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Температура реликтового фона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T_CMB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2,72548 К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COBE/FIRAS</w:t>
            </w:r>
          </w:p>
        </w:tc>
      </w:tr>
      <w:tr>
        <w:trPr>
          <w:cantSplit/>
        </w:trPr>
        <w:tc>
          <w:tcPr>
            <w:tcW w:type="pct" w:w="3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Планковская длина</w:t>
            </w:r>
          </w:p>
        </w:tc>
        <w:tc>
          <w:tcPr>
            <w:tcW w:type="pct" w:w="1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l_P</w:t>
            </w:r>
          </w:p>
        </w:tc>
        <w:tc>
          <w:tcPr>
            <w:tcW w:type="pct" w:w="32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1,616255e-35 м</w:t>
            </w:r>
          </w:p>
        </w:tc>
        <w:tc>
          <w:tcPr>
            <w:tcW w:type="pct" w:w="2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производная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Планковская масса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m_P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2,176434e-8 кг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производная</w:t>
            </w:r>
          </w:p>
        </w:tc>
      </w:tr>
      <w:tr>
        <w:trPr>
          <w:cantSplit/>
        </w:trPr>
        <w:tc>
          <w:tcPr>
            <w:tcW w:type="pct" w:w="3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Планковская температура</w:t>
            </w:r>
          </w:p>
        </w:tc>
        <w:tc>
          <w:tcPr>
            <w:tcW w:type="pct" w:w="1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T_P</w:t>
            </w:r>
          </w:p>
        </w:tc>
        <w:tc>
          <w:tcPr>
            <w:tcW w:type="pct" w:w="32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1,416784e32 К</w:t>
            </w:r>
          </w:p>
        </w:tc>
        <w:tc>
          <w:tcPr>
            <w:tcW w:type="pct" w:w="2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производная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Масса Солнца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M_sun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1,98892e30 кг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IAU nominal</w:t>
            </w:r>
          </w:p>
        </w:tc>
      </w:tr>
      <w:tr>
        <w:trPr>
          <w:cantSplit/>
        </w:trPr>
        <w:tc>
          <w:tcPr>
            <w:tcW w:type="pct" w:w="3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Масштаб MOND</w:t>
            </w:r>
          </w:p>
        </w:tc>
        <w:tc>
          <w:tcPr>
            <w:tcW w:type="pct" w:w="1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a0</w:t>
            </w:r>
          </w:p>
        </w:tc>
        <w:tc>
          <w:tcPr>
            <w:tcW w:type="pct" w:w="32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1,2e-10 м/с²</w:t>
            </w:r>
          </w:p>
        </w:tc>
        <w:tc>
          <w:tcPr>
            <w:tcW w:type="pct" w:w="2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литературный якорь</w:t>
            </w:r>
          </w:p>
        </w:tc>
      </w:tr>
    </w:tbl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Таблица II.2. Якоря движковой стороны (Part B)</w:t>
      </w:r>
    </w:p>
    <w:tbl>
      <w:tblPr>
        <w:tblW w:type="pct" w:w="100%"/>
        <w:tblBorders>
          <w:top w:val="single" w:color="C9A84C" w:sz="6"/>
          <w:left w:val="none" w:color="FFFFFF" w:sz="0"/>
          <w:bottom w:val="single" w:color="C9A84C" w:sz="6"/>
          <w:right w:val="none" w:color="FFFFFF" w:sz="0"/>
          <w:insideH w:val="single" w:color="DDD5C0" w:sz="2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Величина</w:t>
            </w:r>
          </w:p>
        </w:tc>
        <w:tc>
          <w:tcPr>
            <w:tcW w:type="pct" w:w="26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Формула</w:t>
            </w:r>
          </w:p>
        </w:tc>
        <w:tc>
          <w:tcPr>
            <w:tcW w:type="pct" w:w="26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Значение</w:t>
            </w:r>
          </w:p>
        </w:tc>
        <w:tc>
          <w:tcPr>
            <w:tcW w:type="pct" w:w="18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Роль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Фаза септинного сектора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δ_C = π/7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0,448798950513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точная</w:t>
            </w:r>
          </w:p>
        </w:tc>
      </w:tr>
      <w:tr>
        <w:trPr>
          <w:cantSplit/>
        </w:trPr>
        <w:tc>
          <w:tcPr>
            <w:tcW w:type="pct" w:w="3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Септинная константа</w:t>
            </w:r>
          </w:p>
        </w:tc>
        <w:tc>
          <w:tcPr>
            <w:tcW w:type="pct" w:w="2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b_Ch = 1 − cos(2π/7)</w:t>
            </w:r>
          </w:p>
        </w:tc>
        <w:tc>
          <w:tcPr>
            <w:tcW w:type="pct" w:w="2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0,37651019814126640</w:t>
            </w:r>
          </w:p>
        </w:tc>
        <w:tc>
          <w:tcPr>
            <w:tcW w:type="pct" w:w="18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точная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Якорь скейлинга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γ_Ch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0,374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сравнение</w:t>
            </w:r>
          </w:p>
        </w:tc>
      </w:tr>
      <w:tr>
        <w:trPr>
          <w:cantSplit/>
        </w:trPr>
        <w:tc>
          <w:tcPr>
            <w:tcW w:type="pct" w:w="3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Период эхо</w:t>
            </w:r>
          </w:p>
        </w:tc>
        <w:tc>
          <w:tcPr>
            <w:tcW w:type="pct" w:w="2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Δ</w:t>
            </w:r>
          </w:p>
        </w:tc>
        <w:tc>
          <w:tcPr>
            <w:tcW w:type="pct" w:w="2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3,44 ± 0,02</w:t>
            </w:r>
          </w:p>
        </w:tc>
        <w:tc>
          <w:tcPr>
            <w:tcW w:type="pct" w:w="18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сравнение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Якорное произведение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Δ·γ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1,28656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сравнение (T6)</w:t>
            </w:r>
          </w:p>
        </w:tc>
      </w:tr>
      <w:tr>
        <w:trPr>
          <w:cantSplit/>
        </w:trPr>
        <w:tc>
          <w:tcPr>
            <w:tcW w:type="pct" w:w="3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Берри-квант сектора</w:t>
            </w:r>
          </w:p>
        </w:tc>
        <w:tc>
          <w:tcPr>
            <w:tcW w:type="pct" w:w="2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π²/98</w:t>
            </w:r>
          </w:p>
        </w:tc>
        <w:tc>
          <w:tcPr>
            <w:tcW w:type="pct" w:w="2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0,100741699796…</w:t>
            </w:r>
          </w:p>
        </w:tc>
        <w:tc>
          <w:tcPr>
            <w:tcW w:type="pct" w:w="18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точная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Тормозной квант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π⁵/369754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0,084112…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точная</w:t>
            </w:r>
          </w:p>
        </w:tc>
      </w:tr>
      <w:tr>
        <w:trPr>
          <w:cantSplit/>
        </w:trPr>
        <w:tc>
          <w:tcPr>
            <w:tcW w:type="pct" w:w="3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QNM-коррекция</w:t>
            </w:r>
          </w:p>
        </w:tc>
        <w:tc>
          <w:tcPr>
            <w:tcW w:type="pct" w:w="2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1/(1200π²)</w:t>
            </w:r>
          </w:p>
        </w:tc>
        <w:tc>
          <w:tcPr>
            <w:tcW w:type="pct" w:w="2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8,44343e-5</w:t>
            </w:r>
          </w:p>
        </w:tc>
        <w:tc>
          <w:tcPr>
            <w:tcW w:type="pct" w:w="18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точная</w:t>
            </w:r>
          </w:p>
        </w:tc>
      </w:tr>
    </w:tbl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Таблица II.3. Машинные вердикты кампаний (Part C)</w:t>
      </w:r>
    </w:p>
    <w:tbl>
      <w:tblPr>
        <w:tblW w:type="pct" w:w="100%"/>
        <w:tblBorders>
          <w:top w:val="single" w:color="C9A84C" w:sz="6"/>
          <w:left w:val="none" w:color="FFFFFF" w:sz="0"/>
          <w:bottom w:val="single" w:color="C9A84C" w:sz="6"/>
          <w:right w:val="none" w:color="FFFFFF" w:sz="0"/>
          <w:insideH w:val="single" w:color="DDD5C0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Величина</w:t>
            </w:r>
          </w:p>
        </w:tc>
        <w:tc>
          <w:tcPr>
            <w:tcW w:type="pct" w:w="34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Значение</w:t>
            </w:r>
          </w:p>
        </w:tc>
        <w:tc>
          <w:tcPr>
            <w:tcW w:type="pct" w:w="26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A* (N=200)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0,1051042795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a_star_ladder (F-1)</w:t>
            </w:r>
          </w:p>
        </w:tc>
      </w:tr>
      <w:tr>
        <w:trPr>
          <w:cantSplit/>
        </w:trPr>
        <w:tc>
          <w:tcPr>
            <w:tcW w:type="pct" w:w="4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A* (N=400)</w:t>
            </w:r>
          </w:p>
        </w:tc>
        <w:tc>
          <w:tcPr>
            <w:tcW w:type="pct" w:w="3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0,0882034349</w:t>
            </w:r>
          </w:p>
        </w:tc>
        <w:tc>
          <w:tcPr>
            <w:tcW w:type="pct" w:w="2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a_star_ladder (F-1)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A* (N=800)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0,0805332422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a_star_ladder (F-1)</w:t>
            </w:r>
          </w:p>
        </w:tc>
      </w:tr>
      <w:tr>
        <w:trPr>
          <w:cantSplit/>
        </w:trPr>
        <w:tc>
          <w:tcPr>
            <w:tcW w:type="pct" w:w="4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A* (N=1600)</w:t>
            </w:r>
          </w:p>
        </w:tc>
        <w:tc>
          <w:tcPr>
            <w:tcW w:type="pct" w:w="3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0,0777437258</w:t>
            </w:r>
          </w:p>
        </w:tc>
        <w:tc>
          <w:tcPr>
            <w:tcW w:type="pct" w:w="2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a_star_ladder (F-1)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A* (N=3200)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0,0768211603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a_star_ladder (F-1)</w:t>
            </w:r>
          </w:p>
        </w:tc>
      </w:tr>
      <w:tr>
        <w:trPr>
          <w:cantSplit/>
        </w:trPr>
        <w:tc>
          <w:tcPr>
            <w:tcW w:type="pct" w:w="4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Дрейф A* N800 → N1600</w:t>
            </w:r>
          </w:p>
        </w:tc>
        <w:tc>
          <w:tcPr>
            <w:tcW w:type="pct" w:w="3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2,79e-3 (честный, НЕ 1e-6)</w:t>
            </w:r>
          </w:p>
        </w:tc>
        <w:tc>
          <w:tcPr>
            <w:tcW w:type="pct" w:w="2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c6_drift_verdict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p_eff дрейфа (200/400/800)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1,140 / 1,459 / 1,596 (растёт)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c6_drift_verdict</w:t>
            </w:r>
          </w:p>
        </w:tc>
      </w:tr>
      <w:tr>
        <w:trPr>
          <w:cantSplit/>
        </w:trPr>
        <w:tc>
          <w:tcPr>
            <w:tcW w:type="pct" w:w="4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Натяжение κ* (T10)</w:t>
            </w:r>
          </w:p>
        </w:tc>
        <w:tc>
          <w:tcPr>
            <w:tcW w:type="pct" w:w="3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2728,60</w:t>
            </w:r>
          </w:p>
        </w:tc>
        <w:tc>
          <w:tcPr>
            <w:tcW w:type="pct" w:w="2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c6_drift_verdict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Чувствительность s (T10)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413,8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c6_drift_verdict</w:t>
            </w:r>
          </w:p>
        </w:tc>
      </w:tr>
      <w:tr>
        <w:trPr>
          <w:cantSplit/>
        </w:trPr>
        <w:tc>
          <w:tcPr>
            <w:tcW w:type="pct" w:w="4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A*_∞ (континуум)</w:t>
            </w:r>
          </w:p>
        </w:tc>
        <w:tc>
          <w:tcPr>
            <w:tcW w:type="pct" w:w="3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НЕ УТВЕРЖДАЕТСЯ (честный негатив)</w:t>
            </w:r>
          </w:p>
        </w:tc>
        <w:tc>
          <w:tcPr>
            <w:tcW w:type="pct" w:w="2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c6_drift_verdict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Порядки Робертса–Оширо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2,031 / 2,093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c1_verdict</w:t>
            </w:r>
          </w:p>
        </w:tc>
      </w:tr>
      <w:tr>
        <w:trPr>
          <w:cantSplit/>
        </w:trPr>
        <w:tc>
          <w:tcPr>
            <w:tcW w:type="pct" w:w="4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Пол массы (N=800)</w:t>
            </w:r>
          </w:p>
        </w:tc>
        <w:tc>
          <w:tcPr>
            <w:tcW w:type="pct" w:w="3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0,0155</w:t>
            </w:r>
          </w:p>
        </w:tc>
        <w:tc>
          <w:tcPr>
            <w:tcW w:type="pct" w:w="2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c1_verdict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M_sat (C2, N=800)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0,03518978551089466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c2_verdict</w:t>
            </w:r>
          </w:p>
        </w:tc>
      </w:tr>
      <w:tr>
        <w:trPr>
          <w:cantSplit/>
        </w:trPr>
        <w:tc>
          <w:tcPr>
            <w:tcW w:type="pct" w:w="4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ε½ (полуширина бифуркации)</w:t>
            </w:r>
          </w:p>
        </w:tc>
        <w:tc>
          <w:tcPr>
            <w:tcW w:type="pct" w:w="3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0,004859801757908699</w:t>
            </w:r>
          </w:p>
        </w:tc>
        <w:tc>
          <w:tcPr>
            <w:tcW w:type="pct" w:w="2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c2_verdict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Замедление, наклон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−0,03344907918769632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c2_verdict</w:t>
            </w:r>
          </w:p>
        </w:tc>
      </w:tr>
      <w:tr>
        <w:trPr>
          <w:cantSplit/>
        </w:trPr>
        <w:tc>
          <w:tcPr>
            <w:tcW w:type="pct" w:w="4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Эхо-скорость</w:t>
            </w:r>
          </w:p>
        </w:tc>
        <w:tc>
          <w:tcPr>
            <w:tcW w:type="pct" w:w="3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0,1908986733640667</w:t>
            </w:r>
          </w:p>
        </w:tc>
        <w:tc>
          <w:tcPr>
            <w:tcW w:type="pct" w:w="2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c2_verdict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γ_eff (N=1600 / N=3200, по сеткам F-2)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0,0410 / 0,0605 (r² 0,33 / 0,41)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c3b_verdict</w:t>
            </w:r>
          </w:p>
        </w:tc>
      </w:tr>
      <w:tr>
        <w:trPr>
          <w:cantSplit/>
        </w:trPr>
        <w:tc>
          <w:tcPr>
            <w:tcW w:type="pct" w:w="4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Пол (N=1600 / N=3200, по сеткам)</w:t>
            </w:r>
          </w:p>
        </w:tc>
        <w:tc>
          <w:tcPr>
            <w:tcW w:type="pct" w:w="3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8,574765e-3 / 4,244867e-3</w:t>
            </w:r>
          </w:p>
        </w:tc>
        <w:tc>
          <w:tcPr>
            <w:tcW w:type="pct" w:w="2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c3b_verdict</w:t>
            </w:r>
          </w:p>
        </w:tc>
      </w:tr>
    </w:tbl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Единицы движка — геометрические (4πG = 1, κ = 2); массы в них помечаются индексом «code». Переход к SI выполняется отображением моста (часть V); в bridge_master.csv каждая строка уже приведена к килограммам, ваттам и секундам, так что чтение таблиц не требует ручных пересчётов.</w:t>
      </w:r>
    </w:p>
    <w:p>
      <w:pPr>
        <w:pStyle w:val="Heading1"/>
        <w:pBdr>
          <w:bottom w:val="single" w:color="C9A84C" w:sz="4" w:space="6"/>
        </w:pBdr>
        <w:spacing w:after="180" w:before="400" w:line="400" w:lineRule="atLeast"/>
      </w:pPr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Часть III. Движок: архитектура, семейство, валидация</w:t>
      </w:r>
    </w:p>
    <w:p>
      <w:pPr>
        <w:pStyle w:val="Heading2"/>
        <w:spacing w:after="120" w:before="280" w:line="360" w:lineRule="atLeast"/>
      </w:pPr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III.1. Архитектура решателя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Движок — двойной характеристический маршевый решатель сферически-симметричных уравнений Эйнштейна в координатах двойного нуля (u, v). Задача формулируется как проблема Гурса: данные на двух характеристических лучах, марш по сетке N×N со схемой второго порядка (RK2-Хойн). Единицы 4πG = 1. Диагностика на каждом прогоне: момент образования горизонта (q = 2m/r = 1), масса на горизонте M_code, максимум компактности q_max, его нулевой момент v_qmax, счётчик эхо-пиков q(v) и остаточная компактность q_final/q_max. Полный протокол — docs/methods.md.</w:t>
      </w:r>
    </w:p>
    <w:p>
      <w:pPr>
        <w:pStyle w:val="Heading2"/>
        <w:spacing w:after="120" w:before="280" w:line="360" w:lineRule="atLeast"/>
      </w:pPr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III.2. Семейство начальных профилей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Семейство задаётся гауссоподобным импульсом с параметрами u0, v_p, σ (ширина) и v0 (сдвиг); амплитуда A — единственный управляющий параметр развёрток. Критическая амплитуда A* ищется бисекцией: при A &gt; A* образуется горизонт, при A &lt; A* пакет рассеивается. Исправленная высокоточная лестница (находка аудита F-1, допуск 5e-8, стрэддл-пробы) фиксирует A*(N) = 0,1051042795 / 0,0882034349 / 0,0805332422 / 0,0777437258 / 0,0768211603 по сеткам N = 200 / 400 / 800 / 1600 / 3200: порог ДРЕЙФУЕТ с разрешением — на 2,79e-3 от N=800 к N=1600 и далее на 9,23e-4 — и сам дрейф является теоремой (T10, часть IV.5): одна формула на перемасштабированных сетках обязана возвращать разные значения, лестница приближается к континуальному порогу сверху. Старое заявление v2.0.0 о согласии 1,06e-6 с референсом 0,0805333 не воспроизвелось под слепой бисекцией (IVP-09) и отозвано повсеместно. Порядки сходимости на точном решении Робертса–Оширо — 2,031 и 2,093 (теорема T4).</w:t>
      </w:r>
    </w:p>
    <w:p>
      <w:pPr>
        <w:spacing w:after="40" w:before="160"/>
        <w:jc w:val="center"/>
      </w:pPr>
      <w:r>
        <w:drawing>
          <wp:inline distT="0" distB="0" distL="0" distR="0">
            <wp:extent cx="4953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505050"/>
          <w:sz w:val="20"/>
          <w:szCs w:val="20"/>
        </w:rPr>
        <w:t xml:space="preserve">Рис. III.1. Валидация движка: ошибка против N, направляющая наклона −2, порядки 2,03/2,09.</w:t>
      </w:r>
    </w:p>
    <w:p>
      <w:pPr>
        <w:pStyle w:val="Heading2"/>
        <w:spacing w:after="120" w:before="280" w:line="360" w:lineRule="atLeast"/>
      </w:pPr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III.3. Честные ограничения движка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Три ограничения зафиксированы как результаты первого класса. Первое — массовый пол: при фиксированном N пакет легче floor_M не формирует горизонт в пределах расчётной области; исправленная лестница по сеткам даёт 0,0155 (N=800), 8,575e-3 (N=1600) и 4,245e-3 (N=3200) — скейлинг 1/N с предмножителем (13 ± 1)/N (теорема T5). Второе — недостижимость якоря γ_Ch = 0,374: с порогами по каждой сетке (F-2) глубокие фиты определяются полом (γ_eff = 0,041/0,060, r² = 0,33/0,41); значение v2.0.0 около 0,12 было артефактом смещения оси ε и отозвано. Третье — квантование v_qmax 40 снимками на прогон: ступенчатость на диаграмме замедления — свойство прибора. Все три пункта влияют на интерпретацию кампаний и потому выделены в отдельную группу тестовых pin-значений.</w:t>
      </w:r>
    </w:p>
    <w:p>
      <w:pPr>
        <w:pStyle w:val="Heading1"/>
        <w:pBdr>
          <w:bottom w:val="single" w:color="C9A84C" w:sz="4" w:space="6"/>
        </w:pBdr>
        <w:spacing w:after="180" w:before="400" w:line="400" w:lineRule="atLeast"/>
      </w:pPr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Часть IV. Система кампаний: C1, C2, C3, C3b, C6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Пять кампаний образуют полный измерительный контур: валидация → две ветви порога → якорное произведение → закон пола → закон дрейфа с разрешением. Все четыре движковые кампании повторно прогнаны на v2.1.0 (физика байт-идентична зафиксированной; обновлены только таймстампы), зафиксированы вердиктами и закреплены 20 pin-тестами test_campaigns.py. Сводка протоколов:</w:t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Таблица IV.1. Протоколы кампаний</w:t>
      </w:r>
    </w:p>
    <w:tbl>
      <w:tblPr>
        <w:tblW w:type="pct" w:w="100%"/>
        <w:tblBorders>
          <w:top w:val="single" w:color="C9A84C" w:sz="6"/>
          <w:left w:val="none" w:color="FFFFFF" w:sz="0"/>
          <w:bottom w:val="single" w:color="C9A84C" w:sz="6"/>
          <w:right w:val="none" w:color="FFFFFF" w:sz="0"/>
          <w:insideH w:val="single" w:color="DDD5C0" w:sz="2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Кампания</w:t>
            </w:r>
          </w:p>
        </w:tc>
        <w:tc>
          <w:tcPr>
            <w:tcW w:type="pct" w:w="30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Архитектура</w:t>
            </w:r>
          </w:p>
        </w:tc>
        <w:tc>
          <w:tcPr>
            <w:tcW w:type="pct" w:w="10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Прогоны</w:t>
            </w:r>
          </w:p>
        </w:tc>
        <w:tc>
          <w:tcPr>
            <w:tcW w:type="pct" w:w="10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Время</w:t>
            </w:r>
          </w:p>
        </w:tc>
        <w:tc>
          <w:tcPr>
            <w:tcW w:type="pct" w:w="40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Ключевой результат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C1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бисекция + скан амплитуды N=400/800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48,4 с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A*_N800 = 0,08053436 (наблюдаемая фиксированной сетки); ремедиационная лестница; спектр рождения</w:t>
            </w:r>
          </w:p>
        </w:tc>
      </w:tr>
      <w:tr>
        <w:trPr>
          <w:cantSplit/>
        </w:trPr>
        <w:tc>
          <w:tcPr>
            <w:tcW w:type="pct" w:w="1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C2</w:t>
            </w:r>
          </w:p>
        </w:tc>
        <w:tc>
          <w:tcPr>
            <w:tcW w:type="pct" w:w="3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две ветви вокруг порога</w:t>
            </w:r>
          </w:p>
        </w:tc>
        <w:tc>
          <w:tcPr>
            <w:tcW w:type="pct" w:w="1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pct" w:w="1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23,7 с</w:t>
            </w:r>
          </w:p>
        </w:tc>
        <w:tc>
          <w:tcPr>
            <w:tcW w:type="pct" w:w="4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q_max монотонен; ε½ = 4,86e-3; эхо 0,1909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C3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якорное измерение Δ·γ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13,7 с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якорь 1,28656 → ЗАЧЁТ (1,3 %); движок — негатив</w:t>
            </w:r>
          </w:p>
        </w:tc>
      </w:tr>
      <w:tr>
        <w:trPr>
          <w:cantSplit/>
        </w:trPr>
        <w:tc>
          <w:tcPr>
            <w:tcW w:type="pct" w:w="1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C3b</w:t>
            </w:r>
          </w:p>
        </w:tc>
        <w:tc>
          <w:tcPr>
            <w:tcW w:type="pct" w:w="3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концентрированные сетки N=1600/3200, пороги по сеткам (F-2)</w:t>
            </w:r>
          </w:p>
        </w:tc>
        <w:tc>
          <w:tcPr>
            <w:tcW w:type="pct" w:w="1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pct" w:w="1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333,7 с</w:t>
            </w:r>
          </w:p>
        </w:tc>
        <w:tc>
          <w:tcPr>
            <w:tcW w:type="pct" w:w="4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закон пола (13±1)/N; γ_eff = 0,041/0,060 — определяются полом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C6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закон дрейфа с разрешением (теорема T10)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 движковых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~2 с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дрейф — теорема: сплющивание κh²/8, A*_N − A*_конт = κ*h²/(8s) &gt; 0; A*_∞ не утверждается</w:t>
            </w:r>
          </w:p>
        </w:tc>
      </w:tr>
    </w:tbl>
    <w:p>
      <w:pPr>
        <w:pStyle w:val="Heading2"/>
        <w:spacing w:after="120" w:before="280" w:line="360" w:lineRule="atLeast"/>
      </w:pPr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IV.1. C1 — валидация и спектр рождения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C1 совмещает три архитектуры: лестницу бисекции A*(N), сканирование амплитуды на двух сетках (26 прогонов N=400, 18 прогонов N=800) и валидацию Робертса–Оширо. Спектр рождения M_code(ε) покрывает четыре декады ε с явным выделением полосы насыщения: дальняя полоса ограничена полом сетки, а не движком — это видно и на кросс-разрешённом аудите hq_04. Мусорные строки сохранены с флагами; их примеры приведены в вердикте.</w:t>
      </w:r>
    </w:p>
    <w:p>
      <w:pPr>
        <w:spacing w:after="40" w:before="160"/>
        <w:jc w:val="center"/>
      </w:pPr>
      <w:r>
        <w:drawing>
          <wp:inline distT="0" distB="0" distL="0" distR="0">
            <wp:extent cx="5143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505050"/>
          <w:sz w:val="20"/>
          <w:szCs w:val="20"/>
        </w:rPr>
        <w:t xml:space="preserve">Рис. IV.1. Кросс-разрешённый_audit скана: N=400 против N=800; дальнюю полосу насыщает пол.</w:t>
      </w:r>
    </w:p>
    <w:p>
      <w:pPr>
        <w:pStyle w:val="Heading2"/>
        <w:spacing w:after="120" w:before="280" w:line="360" w:lineRule="atLeast"/>
      </w:pPr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IV.2. C2 — две ветви порога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Докритическая ветвь (13 прогонов) даёт строгую монотонность q_max: 0,0158 → 0,5845 при приближении ε к нулю, логарифмическое замедление v_qmax = 0,510 − 0,0334·ln ε (r² = 0,714), счётчик эхо 0,1909 пика на э-крат против якоря 0,2907 и затухание остаточной компактности q_final/q_max ≈ 0,55–0,56. Сверхкритическая ветвь (13 прогонов) даёт бифуркационную кривую f~(ε) с полушириной ε½ = 4,86e-3; три строки — мусорные (переполнение массы), сохранены verbatim и помечены.</w:t>
      </w:r>
    </w:p>
    <w:p>
      <w:pPr>
        <w:spacing w:after="40" w:before="160"/>
        <w:jc w:val="center"/>
      </w:pPr>
      <w:r>
        <w:drawing>
          <wp:inline distT="0" distB="0" distL="0" distR="0">
            <wp:extent cx="53340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505050"/>
          <w:sz w:val="20"/>
          <w:szCs w:val="20"/>
        </w:rPr>
        <w:t xml:space="preserve">Рис. IV.2. Обе ветви C2: приближение к порогу (слева) и бифуркация рождения (справа).</w:t>
      </w:r>
    </w:p>
    <w:p>
      <w:pPr>
        <w:pStyle w:val="Heading2"/>
        <w:spacing w:after="120" w:before="280" w:line="360" w:lineRule="atLeast"/>
      </w:pPr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IV.3. C3 — якорное произведение и честный негатив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Кампания C3 формулирует проверку гипотезы Δ·γ ≈ 1,27 в двух уровнях. Якорный уровень: 3,44 × 0,374 = 1,28656 попадает в допуск 1,27 ± 0,05 с отклонением 1,3 % — зачёт. Движковый уровень: собственные измерения Δ и γ нашим решателем не достигают якорей — на фиксированной сетке γ смещён полом (плоский фит γ_eff = 0,005 ± 0,035, r² = 0,003, заявлен как есть), Δ не разрешается (менее трёх пиков). Вердикт фиксирует зачёт якоря и негатив движка одновременно; диагностика негатива приложена к вердикту полностью, продолжение на глубоких сетках — в IV.4.</w:t>
      </w:r>
    </w:p>
    <w:p>
      <w:pPr>
        <w:spacing w:after="40" w:before="160"/>
        <w:jc w:val="center"/>
      </w:pPr>
      <w:r>
        <w:drawing>
          <wp:inline distT="0" distB="0" distL="0" distR="0">
            <wp:extent cx="4953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505050"/>
          <w:sz w:val="20"/>
          <w:szCs w:val="20"/>
        </w:rPr>
        <w:t xml:space="preserve">Рис. IV.3. Якорное произведение Δ·γ против цели 1,27 ± 0,05.</w:t>
      </w:r>
    </w:p>
    <w:p>
      <w:pPr>
        <w:pStyle w:val="Heading2"/>
        <w:spacing w:after="120" w:before="280" w:line="360" w:lineRule="atLeast"/>
      </w:pPr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IV.4. C3b — концентрированные сетки и закон пола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C3b концентрирует разрешение: развёртки на N=1600 и N=3200 (16 прогонов, 333,7 с при повторном прогоне v2.1.0). Начиная с ремедиации F-2 кампания бисектирует порог КАЖДОЙ сетки перед развёрткой и измеряет ε от собственного A*_N этой сетки — выпуск 2.0.0 переиспользовал A*_N800 и смещал ось ε на +2,8e-3 при N=1600. Главный результат — исправленная лестница полов 0,0155, 8,575e-3, 4,245e-3: скейлинг 1/N с предмножителем (13 ± 1)/N (теорема T5). Побочный результат — честный негатив по каждой сетке: фиты определяются полом (γ_eff = 0,041/0,060 при r² = 0,33/0,41; значения v2.0.0 0,111/0,121 и нарратив «стабилизации около 0,12» были артефактами и отозваны) — экспонента движка не приближается к якорю, пол управляет полосой, и именно это определяет приоритет движковой модернизации (AMR) в роадмапе.</w:t>
      </w:r>
    </w:p>
    <w:p>
      <w:pPr>
        <w:spacing w:after="40" w:before="160"/>
        <w:jc w:val="center"/>
      </w:pPr>
      <w:r>
        <w:drawing>
          <wp:inline distT="0" distB="0" distL="0" distR="0">
            <wp:extent cx="4953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505050"/>
          <w:sz w:val="20"/>
          <w:szCs w:val="20"/>
        </w:rPr>
        <w:t xml:space="preserve">Рис. IV.4. γ_eff на концентрированных сетках с порогами по каждой сетке (F-2) против якоря 0,374 — визуализация честного негатива.</w:t>
      </w:r>
    </w:p>
    <w:p>
      <w:pPr>
        <w:pStyle w:val="Heading2"/>
        <w:spacing w:after="120" w:before="280" w:line="360" w:lineRule="atLeast"/>
      </w:pPr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IV.5. C6 — закон дрейфа с разрешением (теорема T10)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Кампания C6 закрывает вопрос, оставленный аудитом: почему одна формула — классификация по образованию горизонта — даёт разные значения A* при перемасштабировании? Ответ — теорема с двумя точными, машинно проверенными леммами. Лемма A: дискретизация локально параболической структуры сеткой с шагом h сплющивает её пик ровно на κh²/8 (худшее выравнивание; в среднем κh²/24). Лемма B: ломаная по узлам — в точности сумма среднего варианта для интегранда дуги и строго короче непрерывной дуги — структура сжимается под действием кривизны своего натяжения, а сгущение сетки снова её растягивает. Сдвиг порога следует по теореме о неявной функции: A*_N − A*_конт = κ*h²/(8s) &gt; 0. C6 проверяет обе леммы до 2,0e-9 / 1,9e-16 относительных, калибрует κ* = 2728,60 и s = 413,8 на зафиксированных артефактах и фиксирует измеренную сигнатуру лестницы: монотонный дрейф вниз, p_eff = 1,140 / 1,459 / 1,596 — строго растёт ко второму порядку RK2-Хойна. Честные негативы: двухчленная экстраполяция ОТВЕРГНУТА собственной траекторией p_eff (A*_∞ не выводится), а точный канал субдоминантен (доля 2,6e-3..9,1e-3) — доминирующий канал (накопление ошибки марша при околокритическом задерживании) — помеченная гипотеза и цель AMR. Полный вывод: docs/scaling_law.md; отчёт: results/scaling_drift/REPORT.md.</w:t>
      </w:r>
    </w:p>
    <w:p>
      <w:pPr>
        <w:spacing w:after="40" w:before="160"/>
        <w:jc w:val="center"/>
      </w:pPr>
      <w:r>
        <w:drawing>
          <wp:inline distT="0" distB="0" distL="0" distR="0">
            <wp:extent cx="51435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505050"/>
          <w:sz w:val="20"/>
          <w:szCs w:val="20"/>
        </w:rPr>
        <w:t xml:space="preserve">Рис. IV.5. Дрейф порога с разрешением: наблюдаемая лестница, точный канал T10 и отвергнутая двухчленная аппроксимация.</w:t>
      </w:r>
    </w:p>
    <w:p>
      <w:pPr>
        <w:pStyle w:val="Heading1"/>
        <w:pBdr>
          <w:bottom w:val="single" w:color="C9A84C" w:sz="4" w:space="6"/>
        </w:pBdr>
        <w:spacing w:after="180" w:before="400" w:line="400" w:lineRule="atLeast"/>
      </w:pPr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Часть V. Мост: термодинамика Хокинга и кривые Пейджа</w:t>
      </w:r>
    </w:p>
    <w:p>
      <w:pPr>
        <w:pStyle w:val="Heading2"/>
        <w:spacing w:after="120" w:before="280" w:line="360" w:lineRule="atLeast"/>
      </w:pPr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V.1. Замкнутые формы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Термодинамическая сторона моста — четыре замкнутые формы Шварцшильда в константах CODATA-2018: температура Хокинга T_H = ħc³/(8πGMk_B), энтропия Бекенштейна–Хокинга S_BH = k_B c³A/(4Għ) с площадью горизонта A = 4πr_s², светимость (только фотоны) P_H = ħc⁶/(15360πG²M²) и идеализированное время испарения t_evap = 5120πG²M³/(ħc⁴). Скейлинги T_H ∝ 1/M, S_BH ∝ M², t_evap ∝ M³ и P_H ∝ M⁻² видны на термоландшафте hq_15 как прямые линии в лог-лог координатах.</w:t>
      </w:r>
    </w:p>
    <w:p>
      <w:pPr>
        <w:spacing w:after="140" w:before="120" w:line="360" w:lineRule="atLeast"/>
        <w:jc w:val="center"/>
      </w:pPr>
      <m:oMath>
        <m:sSub>
          <m:sSubPr/>
          <m:e>
            <m:r>
              <m:t>T</m:t>
            </m:r>
          </m:e>
          <m:sub>
            <m:r>
              <m:t>H</m:t>
            </m:r>
          </m:sub>
        </m:sSub>
        <m:r>
          <m:t> = </m:t>
        </m:r>
        <m:f>
          <m:num>
            <m:r>
              <m:t>ℏc</m:t>
            </m:r>
            <m:sSup>
              <m:sSupPr/>
              <m:e>
                <m:r>
                  <m:t/>
                </m:r>
              </m:e>
              <m:sup>
                <m:r>
                  <m:t>3</m:t>
                </m:r>
              </m:sup>
            </m:sSup>
          </m:num>
          <m:den>
            <m:r>
              <m:t>8πG M k</m:t>
            </m:r>
            <m:sSub>
              <m:sSubPr/>
              <m:e>
                <m:r>
                  <m:t/>
                </m:r>
              </m:e>
              <m:sub>
                <m:r>
                  <m:t>B</m:t>
                </m:r>
              </m:sub>
            </m:sSub>
          </m:den>
        </m:f>
        <m:r>
          <m:t> ,   </m:t>
        </m:r>
        <m:sSub>
          <m:sSubPr/>
          <m:e>
            <m:r>
              <m:t>S</m:t>
            </m:r>
          </m:e>
          <m:sub>
            <m:r>
              <m:t>BH</m:t>
            </m:r>
          </m:sub>
        </m:sSub>
        <m:r>
          <m:t> = </m:t>
        </m:r>
        <m:f>
          <m:num>
            <m:r>
              <m:t>k</m:t>
            </m:r>
            <m:sSub>
              <m:sSubPr/>
              <m:e>
                <m:r>
                  <m:t/>
                </m:r>
              </m:e>
              <m:sub>
                <m:r>
                  <m:t>B</m:t>
                </m:r>
              </m:sub>
            </m:sSub>
            <m:r>
              <m:t>c</m:t>
            </m:r>
            <m:sSup>
              <m:sSupPr/>
              <m:e>
                <m:r>
                  <m:t/>
                </m:r>
              </m:e>
              <m:sup>
                <m:r>
                  <m:t>3</m:t>
                </m:r>
              </m:sup>
            </m:sSup>
            <m:r>
              <m:t>A</m:t>
            </m:r>
          </m:num>
          <m:den>
            <m:r>
              <m:t>4Gℏ</m:t>
            </m:r>
          </m:den>
        </m:f>
      </m:oMath>
      <w:r>
        <w:rPr>
          <w:rFonts w:ascii="Times New Roman" w:cs="Times New Roman" w:eastAsia="Times New Roman" w:hAnsi="Times New Roman"/>
          <w:color w:val="505050"/>
          <w:sz w:val="20"/>
          <w:szCs w:val="20"/>
        </w:rPr>
        <w:t xml:space="preserve">   (V.1)</w:t>
      </w:r>
    </w:p>
    <w:p>
      <w:pPr>
        <w:pStyle w:val="Heading2"/>
        <w:spacing w:after="120" w:before="280" w:line="360" w:lineRule="atLeast"/>
      </w:pPr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V.2. Точка контакта с реликтовым фоном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Уравнение T_H(M) = T_CMB имеет единственное решение M_CMB = 4,5016e22 кг ≈ 0,61 массы Луны (теорема T2). Это естественная граница двух режимов: массивнее — дыра горячее фона и испаряется, легче — холоднее и растёт. В лестнице масштабов пакета контактная точка образует собственную строку («CMB input»), и по построению T_H/T_CMB = 1 в соответствующей строке bridge_master.csv.</w:t>
      </w:r>
    </w:p>
    <w:p>
      <w:pPr>
        <w:spacing w:after="40" w:before="160"/>
        <w:jc w:val="center"/>
      </w:pPr>
      <w:r>
        <w:drawing>
          <wp:inline distT="0" distB="0" distL="0" distR="0">
            <wp:extent cx="53340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505050"/>
          <w:sz w:val="20"/>
          <w:szCs w:val="20"/>
        </w:rPr>
        <w:t xml:space="preserve">Рис. V.1. Термодинамика Хокинга против массы; золотая точка — контакт с CMB.</w:t>
      </w:r>
    </w:p>
    <w:p>
      <w:pPr>
        <w:pStyle w:val="Heading2"/>
        <w:spacing w:after="120" w:before="280" w:line="360" w:lineRule="atLeast"/>
      </w:pPr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V.3. Кривые Пейджа и аудит Хаара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Модель унитарного потока энтропии задаёт крупнозернистую энтропию дыры S_BH(t) = S0(1 − τ)^{2/3} и кусочную энтропию излучения с точной точкой сопряжения τ* = 1 − 2^{−3/2} = 0,6464466 (теоремы T1 и T9: в точке Пейджа энтропия излучения равна ровно половине финальной). Ансамбль из трёх членов f~ = 0,2877 / 0,2684 / 1,0 даёт 720-точечную сетку кривых. Формула усреднённой энтропии разбиения Пейджа–Сена проверена против Монте-Карло по Хаару: максимальное отклонение 0,0042 бита на 18 разбиениях (seed 20260101, n_MC = 3000/1200).</w:t>
      </w:r>
    </w:p>
    <w:p>
      <w:pPr>
        <w:spacing w:after="40" w:before="160"/>
        <w:jc w:val="center"/>
      </w:pPr>
      <w:r>
        <w:drawing>
          <wp:inline distT="0" distB="0" distL="0" distR="0">
            <wp:extent cx="51435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505050"/>
          <w:sz w:val="20"/>
          <w:szCs w:val="20"/>
        </w:rPr>
        <w:t xml:space="preserve">Рис. V.2. Кривые Пейджа трёх членов ансамбля; пунктир — τ* = 0,6464466.</w:t>
      </w:r>
    </w:p>
    <w:p>
      <w:pPr>
        <w:pStyle w:val="Heading2"/>
        <w:spacing w:after="120" w:before="280" w:line="360" w:lineRule="atLeast"/>
      </w:pPr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V.4. Отображение ансамбля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Мост замыкается монотонным отображением M_BH = M_in · f~(ε) по пяти входным шкалам: планковская (m_P), астероидная (1e12 кг), контактная CMB (4,5016e22 кг), земная и солнечная. Каждая шкала × три члена ансамбля = 15 строк bridge_master.csv с 23 колонками: геометрия (r_s, r_s/l_P), термодинамика (T_H, S_BH), радиация (P_H, t_evap, t_Page с человекочитаемыми форматами), кривизна (Критшманн на горизонте) и сравнения (T_H/T_CMB). Пример масштаба: астероидный вход даёт дыру с временем жизни 63,4 млрд лет — дольше нынешнего возраста Вселенной в 4,7 раза.</w:t>
      </w:r>
    </w:p>
    <w:p>
      <w:pPr>
        <w:spacing w:after="40" w:before="160"/>
        <w:jc w:val="center"/>
      </w:pPr>
      <w:r>
        <w:drawing>
          <wp:inline distT="0" distB="0" distL="0" distR="0">
            <wp:extent cx="53340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505050"/>
          <w:sz w:val="20"/>
          <w:szCs w:val="20"/>
        </w:rPr>
        <w:t xml:space="preserve">Рис. V.3. Термодинамический ландшафт: 15 строк отображения в четырёх проекциях.</w:t>
      </w:r>
    </w:p>
    <w:p>
      <w:pPr>
        <w:pStyle w:val="Heading1"/>
        <w:pBdr>
          <w:bottom w:val="single" w:color="C9A84C" w:sz="4" w:space="6"/>
        </w:pBdr>
        <w:spacing w:after="180" w:before="400" w:line="400" w:lineRule="atLeast"/>
      </w:pPr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Часть VI. Теоремы: сводный реестр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Десять теорем проекта сформулированы, доказаны и верифицированы в отдельном томе «Теоремы моста „Коллапс–Хокинг“»; здесь приведён сводный реестр с точными формулировками-эскизами и статусами. Обозначения — как в части II.</w:t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Таблица VI.1. Реестр теорем</w:t>
      </w:r>
    </w:p>
    <w:tbl>
      <w:tblPr>
        <w:tblW w:type="pct" w:w="100%"/>
        <w:tblBorders>
          <w:top w:val="single" w:color="C9A84C" w:sz="6"/>
          <w:left w:val="none" w:color="FFFFFF" w:sz="0"/>
          <w:bottom w:val="single" w:color="C9A84C" w:sz="6"/>
          <w:right w:val="none" w:color="FFFFFF" w:sz="0"/>
          <w:insideH w:val="single" w:color="DDD5C0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№</w:t>
            </w:r>
          </w:p>
        </w:tc>
        <w:tc>
          <w:tcPr>
            <w:tcW w:type="pct" w:w="62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Эскиз формулировки</w:t>
            </w:r>
          </w:p>
        </w:tc>
        <w:tc>
          <w:tcPr>
            <w:tcW w:type="pct" w:w="30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Точка смены ветвей энтропии излучения: τ* = 1 − 2^(−3/2) = 0,6464466…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точно</w:t>
            </w:r>
          </w:p>
        </w:tc>
      </w:tr>
      <w:tr>
        <w:trPr>
          <w:cantSplit/>
        </w:trPr>
        <w:tc>
          <w:tcPr>
            <w:tcW w:type="pct" w:w="8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T2</w:t>
            </w:r>
          </w:p>
        </w:tc>
        <w:tc>
          <w:tcPr>
            <w:tcW w:type="pct" w:w="62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Единственность решения T_H(M) = T_CMB; M_CMB = 4,5016e22 кг</w:t>
            </w:r>
          </w:p>
        </w:tc>
        <w:tc>
          <w:tcPr>
            <w:tcW w:type="pct" w:w="3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точно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T3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b_Ch = 2sin²(π/7) = 0,37651019814126640; семейство убывает по δ; 0,67 % к γ_Ch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точно + сравнение</w:t>
            </w:r>
          </w:p>
        </w:tc>
      </w:tr>
      <w:tr>
        <w:trPr>
          <w:cantSplit/>
        </w:trPr>
        <w:tc>
          <w:tcPr>
            <w:tcW w:type="pct" w:w="8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T4</w:t>
            </w:r>
          </w:p>
        </w:tc>
        <w:tc>
          <w:tcPr>
            <w:tcW w:type="pct" w:w="62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Порядок сходимости движка 2,031/2,093 ≈ 2 (RK2-Хойн)</w:t>
            </w:r>
          </w:p>
        </w:tc>
        <w:tc>
          <w:tcPr>
            <w:tcW w:type="pct" w:w="3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установлено численно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T5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floor_M(N) = (13 ± 1)/N на N ∈ [800, 3200] (скейлинг 1/N, измеренный предмножитель)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установлено численно</w:t>
            </w:r>
          </w:p>
        </w:tc>
      </w:tr>
      <w:tr>
        <w:trPr>
          <w:cantSplit/>
        </w:trPr>
        <w:tc>
          <w:tcPr>
            <w:tcW w:type="pct" w:w="8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T6</w:t>
            </w:r>
          </w:p>
        </w:tc>
        <w:tc>
          <w:tcPr>
            <w:tcW w:type="pct" w:w="62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Δ·γ = 1,28656 ∈ 1,27 ± 0,05 (зачёт, 1,3 %); движковый уровень — негатив</w:t>
            </w:r>
          </w:p>
        </w:tc>
        <w:tc>
          <w:tcPr>
            <w:tcW w:type="pct" w:w="3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сравнение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T7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q_max строго монотонен; v_qmax = a + b·ln ε, b = −0,0334, r² = 0,714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установлено численно</w:t>
            </w:r>
          </w:p>
        </w:tc>
      </w:tr>
      <w:tr>
        <w:trPr>
          <w:cantSplit/>
        </w:trPr>
        <w:tc>
          <w:tcPr>
            <w:tcW w:type="pct" w:w="8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T8</w:t>
            </w:r>
          </w:p>
        </w:tc>
        <w:tc>
          <w:tcPr>
            <w:tcW w:type="pct" w:w="62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0,1909 пиков/э-крат &lt; 1/Δ = 0,2907 (отношение 0,657)</w:t>
            </w:r>
          </w:p>
        </w:tc>
        <w:tc>
          <w:tcPr>
            <w:tcW w:type="pct" w:w="3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установлено численно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T9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S_rad(τ*)/S0 = 1/2 точно — следствие T1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точно</w:t>
            </w:r>
          </w:p>
        </w:tc>
      </w:tr>
      <w:tr>
        <w:trPr>
          <w:cantSplit/>
        </w:trPr>
        <w:tc>
          <w:tcPr>
            <w:tcW w:type="pct" w:w="8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T10</w:t>
            </w:r>
          </w:p>
        </w:tc>
        <w:tc>
          <w:tcPr>
            <w:tcW w:type="pct" w:w="62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A*_N − A*_конт = κ*h²/(8s) &gt; 0: дрейф порога фиксированной сетки — теорема (параболическое натяжение); A*_∞ не выводится</w:t>
            </w:r>
          </w:p>
        </w:tc>
        <w:tc>
          <w:tcPr>
            <w:tcW w:type="pct" w:w="3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выведено аналитически; измерено</w:t>
            </w:r>
          </w:p>
        </w:tc>
      </w:tr>
    </w:tbl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Связь теорем с кампаниями двусторонняя: кампании дают данные для численных теорем, а теоремы задают критерии для будущих — например, зачёт T6 на движковом уровне и снятие негатива γ определяют критерии успеха модернизации движка (часть XI).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Теорема T10 (добавлена на v2.1.0) закрывает вопрос, поднятый ремедиацией F-1: дрейф зафиксированной лестницы A* — не дефект, а свойство дискретизованных параболических структур, которые сплющиваются (κh²/8) и сжимаются под действием своего натяжения; обе точные леммы машинно проверены кампанией C6, коэффициенты (κ* = 2728,60, s = 413,8) калиброваны на зафиксированных артефактах, и с теоремой идут честные негативы (A*_∞ не утверждается; точный канал субдоминантен). Полный вывод — в docs/scaling_law.md, отчёт — в results/scaling_drift/.</w:t>
      </w:r>
    </w:p>
    <w:p>
      <w:pPr>
        <w:pStyle w:val="Heading1"/>
        <w:pBdr>
          <w:bottom w:val="single" w:color="C9A84C" w:sz="4" w:space="6"/>
        </w:pBdr>
        <w:spacing w:after="180" w:before="400" w:line="400" w:lineRule="atLeast"/>
      </w:pPr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Часть VII. Словарь данных: 13 таблиц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Слой данных пакета — 13 таблиц в data/bridge/, собираемых пятистадийным конвейером rebuild_data.py байт-детерминированно (md5-контроль закреплён тестом). Ниже — назначение каждой таблицы и её размер; полный словарь 23 колонок bridge_master — в data/README.md пакета. Excel-версия всех таблиц собрана в tables/bridge_workbook.xlsx (14 листов) и генерируется скриптом scripts/build_workbook.py.</w:t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Таблица VII.1. Инвентарь данных</w:t>
      </w:r>
    </w:p>
    <w:tbl>
      <w:tblPr>
        <w:tblW w:type="pct" w:w="100%"/>
        <w:tblBorders>
          <w:top w:val="single" w:color="C9A84C" w:sz="6"/>
          <w:left w:val="none" w:color="FFFFFF" w:sz="0"/>
          <w:bottom w:val="single" w:color="C9A84C" w:sz="6"/>
          <w:right w:val="none" w:color="FFFFFF" w:sz="0"/>
          <w:insideH w:val="single" w:color="DDD5C0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4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Таблица</w:t>
            </w:r>
          </w:p>
        </w:tc>
        <w:tc>
          <w:tcPr>
            <w:tcW w:type="pct" w:w="10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Строк</w:t>
            </w:r>
          </w:p>
        </w:tc>
        <w:tc>
          <w:tcPr>
            <w:tcW w:type="pct" w:w="56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bridge_constants.csv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5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константы всех трёх частей, фактически используемые мостом</w:t>
            </w:r>
          </w:p>
        </w:tc>
      </w:tr>
      <w:tr>
        <w:trPr>
          <w:cantSplit/>
        </w:trPr>
        <w:tc>
          <w:tcPr>
            <w:tcW w:type="pct" w:w="3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bridge_master.csv</w:t>
            </w:r>
          </w:p>
        </w:tc>
        <w:tc>
          <w:tcPr>
            <w:tcW w:type="pct" w:w="1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pct" w:w="5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полное отображение: 5 шкал × 3 члена × 23 колонки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born_spectrum.csv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pct" w:w="5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рождённые прогоны (26 @ N=400, 18 @ N=800)</w:t>
            </w:r>
          </w:p>
        </w:tc>
      </w:tr>
      <w:tr>
        <w:trPr>
          <w:cantSplit/>
        </w:trPr>
        <w:tc>
          <w:tcPr>
            <w:tcW w:type="pct" w:w="3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collapse_verdict_summary.json</w:t>
            </w:r>
          </w:p>
        </w:tc>
        <w:tc>
          <w:tcPr>
            <w:tcW w:type="pct" w:w="1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pct" w:w="5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сводка вердикта коллапсной стороны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page_curve_grid.csv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720</w:t>
            </w:r>
          </w:p>
        </w:tc>
        <w:tc>
          <w:tcPr>
            <w:tcW w:type="pct" w:w="5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сетка энтропии излучения: 3 члена × 240 точек</w:t>
            </w:r>
          </w:p>
        </w:tc>
      </w:tr>
      <w:tr>
        <w:trPr>
          <w:cantSplit/>
        </w:trPr>
        <w:tc>
          <w:tcPr>
            <w:tcW w:type="pct" w:w="3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page_members.csv</w:t>
            </w:r>
          </w:p>
        </w:tc>
        <w:tc>
          <w:tcPr>
            <w:tcW w:type="pct" w:w="1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5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определения членов ансамбля (f~)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page_haar_check.csv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pct" w:w="5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аудит Хаара: формула против Монте-Карло</w:t>
            </w:r>
          </w:p>
        </w:tc>
      </w:tr>
      <w:tr>
        <w:trPr>
          <w:cantSplit/>
        </w:trPr>
        <w:tc>
          <w:tcPr>
            <w:tcW w:type="pct" w:w="3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scale_ladder_length.csv</w:t>
            </w:r>
          </w:p>
        </w:tc>
        <w:tc>
          <w:tcPr>
            <w:tcW w:type="pct" w:w="1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5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лестница длин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scale_ladder_accel.csv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5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лестница ускорений</w:t>
            </w:r>
          </w:p>
        </w:tc>
      </w:tr>
      <w:tr>
        <w:trPr>
          <w:cantSplit/>
        </w:trPr>
        <w:tc>
          <w:tcPr>
            <w:tcW w:type="pct" w:w="3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scale_ladder_curvature.csv</w:t>
            </w:r>
          </w:p>
        </w:tc>
        <w:tc>
          <w:tcPr>
            <w:tcW w:type="pct" w:w="1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5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лестница кривизн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campaign_c2_subcritical.csv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pct" w:w="5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q_max / v_qmax / n_peaks / q_final по прогонам</w:t>
            </w:r>
          </w:p>
        </w:tc>
      </w:tr>
      <w:tr>
        <w:trPr>
          <w:cantSplit/>
        </w:trPr>
        <w:tc>
          <w:tcPr>
            <w:tcW w:type="pct" w:w="3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campaign_c2_bifurcation.csv</w:t>
            </w:r>
          </w:p>
        </w:tc>
        <w:tc>
          <w:tcPr>
            <w:tcW w:type="pct" w:w="1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pct" w:w="5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f~ / M_code / sanity по прогонам (мусор сохранён)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campaign_c3b_ladder.csv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pct" w:w="5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концентрированные прогоны N=1600/3200</w:t>
            </w:r>
          </w:p>
        </w:tc>
      </w:tr>
    </w:tbl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Дисциплина данных: JSON-вердикты имеют приоритет над CSV при расхождениях (правило «JSON — закон»); таблицы кампаний копируются в data/ verbatim без преобразований; мусорные строки переносятся с флагами. Ни одна таблица не редактируется вручную — только перегенерацией.</w:t>
      </w:r>
    </w:p>
    <w:p>
      <w:pPr>
        <w:pStyle w:val="Heading1"/>
        <w:pBdr>
          <w:bottom w:val="single" w:color="C9A84C" w:sz="4" w:space="6"/>
        </w:pBdr>
        <w:spacing w:after="180" w:before="400" w:line="400" w:lineRule="atLeast"/>
      </w:pPr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Часть VIII. Каталог фигур: 300 и 600 dpi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Визуальный слой пакета двухуровневый. Базовый каталог figures/ — 7 типов × 2 языка × 2 темы = 28 PNG при 300 dpi (экраны, презентации). Каталог figures_hires/ — 17 типов × 2 языка × 2 темы = 68 PNG при 600 dpi (4440×2880 и выше): печать, постеры, журнальные submissions. Один hires-график соответствует одной измерительной архитектуре кампаний; полный реестр — в figures_hires/README.md. Ниже — выборка ключевых фигур hires-каталога, дополняющая встроенные по тексту.</w:t>
      </w:r>
    </w:p>
    <w:p>
      <w:pPr>
        <w:spacing w:after="40" w:before="160"/>
        <w:jc w:val="center"/>
      </w:pPr>
      <w:r>
        <w:drawing>
          <wp:inline distT="0" distB="0" distL="0" distR="0">
            <wp:extent cx="5143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505050"/>
          <w:sz w:val="20"/>
          <w:szCs w:val="20"/>
        </w:rPr>
        <w:t xml:space="preserve">Рис. VIII.1. hq_01 — лестница бисекции A*(N): порог дрейфует с разрешением (ремедиация F-1; старое заявление о согласии 1,06e-6 отозвано).</w:t>
      </w:r>
    </w:p>
    <w:p>
      <w:pPr>
        <w:spacing w:after="40" w:before="160"/>
        <w:jc w:val="center"/>
      </w:pPr>
      <w:r>
        <w:drawing>
          <wp:inline distT="0" distB="0" distL="0" distR="0">
            <wp:extent cx="5143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505050"/>
          <w:sz w:val="20"/>
          <w:szCs w:val="20"/>
        </w:rPr>
        <w:t xml:space="preserve">Рис. VIII.2. hq_06 — докритическое приближение: строгая монотонность q_max.</w:t>
      </w:r>
    </w:p>
    <w:p>
      <w:pPr>
        <w:spacing w:after="40" w:before="160"/>
        <w:jc w:val="center"/>
      </w:pPr>
      <w:r>
        <w:drawing>
          <wp:inline distT="0" distB="0" distL="0" distR="0">
            <wp:extent cx="5143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505050"/>
          <w:sz w:val="20"/>
          <w:szCs w:val="20"/>
        </w:rPr>
        <w:t xml:space="preserve">Рис. VIII.3. hq_10 — бифуркация рождения f~(ε) с ε½ = 4,86e-3; мусорные строки помечены.</w:t>
      </w:r>
    </w:p>
    <w:p>
      <w:pPr>
        <w:spacing w:after="40" w:before="160"/>
        <w:jc w:val="center"/>
      </w:pPr>
      <w:r>
        <w:drawing>
          <wp:inline distT="0" distB="0" distL="0" distR="0">
            <wp:extent cx="5143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505050"/>
          <w:sz w:val="20"/>
          <w:szCs w:val="20"/>
        </w:rPr>
        <w:t xml:space="preserve">Рис. VIII.4. hq_08 — накопление эхо 0,1909/э-крат против якоря 0,2907.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Анимационный слой (animations/) — четыре запускные анимации в двух языках (MP4 h264 + GIF): испарение с переходом Пейджа, сборка бифуркации по committed-строкам, критическое замедление с прорисовкой фита и закон пола 12/N. Все анимации детерминированы (без RNG) и используют только зафиксированные данные; суммарный объём 1,8 МБ. Каждая анимация снабжена подписями на языке каталога и хранится в animations/en и animations/ru.</w:t>
      </w:r>
    </w:p>
    <w:p>
      <w:pPr>
        <w:pStyle w:val="Heading1"/>
        <w:pBdr>
          <w:bottom w:val="single" w:color="C9A84C" w:sz="4" w:space="6"/>
        </w:pBdr>
        <w:spacing w:after="180" w:before="400" w:line="400" w:lineRule="atLeast"/>
      </w:pPr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Часть IX. Коды на разных языках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Каталог multilang/ переносит замкнутое ядро моста на семь языков: Python (эталонная реализация — весь пакет), JavaScript, C++, C (три близнеца, исполненных и взаимно сверенных с максимальным расхождением 7,1e-13) и Julia, Rust, Go (портативные исходники, честно помеченные как не исполненные на машине упаковки). Каждый близнец печатает одинаковый блок из 12 контрольных величин — от b_Ch до закона пола — и пригоден для diff-сверки между языками.</w:t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Таблица IX.1. Матрица языков</w:t>
      </w:r>
    </w:p>
    <w:tbl>
      <w:tblPr>
        <w:tblW w:type="pct" w:w="100%"/>
        <w:tblBorders>
          <w:top w:val="single" w:color="C9A84C" w:sz="6"/>
          <w:left w:val="none" w:color="FFFFFF" w:sz="0"/>
          <w:bottom w:val="single" w:color="C9A84C" w:sz="6"/>
          <w:right w:val="none" w:color="FFFFFF" w:sz="0"/>
          <w:insideH w:val="single" w:color="DDD5C0" w:sz="2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Папка</w:t>
            </w:r>
          </w:p>
        </w:tc>
        <w:tc>
          <w:tcPr>
            <w:tcW w:type="pct" w:w="22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Язык</w:t>
            </w:r>
          </w:p>
        </w:tc>
        <w:tc>
          <w:tcPr>
            <w:tcW w:type="pct" w:w="26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Статус</w:t>
            </w:r>
          </w:p>
        </w:tc>
        <w:tc>
          <w:tcPr>
            <w:tcW w:type="pct" w:w="32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Запуск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../chbridge/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Python 3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эталон (весь пакет)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python3 -m chbridge.validate</w:t>
            </w:r>
          </w:p>
        </w:tc>
      </w:tr>
      <w:tr>
        <w:trPr>
          <w:cantSplit/>
        </w:trPr>
        <w:tc>
          <w:tcPr>
            <w:tcW w:type="pct" w:w="2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javascript/</w:t>
            </w:r>
          </w:p>
        </w:tc>
        <w:tc>
          <w:tcPr>
            <w:tcW w:type="pct" w:w="22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JavaScript ES2022</w:t>
            </w:r>
          </w:p>
        </w:tc>
        <w:tc>
          <w:tcPr>
            <w:tcW w:type="pct" w:w="2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исполнен, сверен</w:t>
            </w:r>
          </w:p>
        </w:tc>
        <w:tc>
          <w:tcPr>
            <w:tcW w:type="pct" w:w="32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node bridge.mjs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cpp/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C++17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исполнен, сверен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g++ -O2 -std=c++17 &amp;&amp; ./bridge</w:t>
            </w:r>
          </w:p>
        </w:tc>
      </w:tr>
      <w:tr>
        <w:trPr>
          <w:cantSplit/>
        </w:trPr>
        <w:tc>
          <w:tcPr>
            <w:tcW w:type="pct" w:w="2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c/</w:t>
            </w:r>
          </w:p>
        </w:tc>
        <w:tc>
          <w:tcPr>
            <w:tcW w:type="pct" w:w="22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C99</w:t>
            </w:r>
          </w:p>
        </w:tc>
        <w:tc>
          <w:tcPr>
            <w:tcW w:type="pct" w:w="2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исполнен, сверен</w:t>
            </w:r>
          </w:p>
        </w:tc>
        <w:tc>
          <w:tcPr>
            <w:tcW w:type="pct" w:w="32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gcc -O2 -std=c99 &amp;&amp; ./bridge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julia/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Julia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портативный исходник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julia bridge.jl</w:t>
            </w:r>
          </w:p>
        </w:tc>
      </w:tr>
      <w:tr>
        <w:trPr>
          <w:cantSplit/>
        </w:trPr>
        <w:tc>
          <w:tcPr>
            <w:tcW w:type="pct" w:w="2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rust/</w:t>
            </w:r>
          </w:p>
        </w:tc>
        <w:tc>
          <w:tcPr>
            <w:tcW w:type="pct" w:w="22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Rust</w:t>
            </w:r>
          </w:p>
        </w:tc>
        <w:tc>
          <w:tcPr>
            <w:tcW w:type="pct" w:w="2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портативный исходник</w:t>
            </w:r>
          </w:p>
        </w:tc>
        <w:tc>
          <w:tcPr>
            <w:tcW w:type="pct" w:w="32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rustc -O bridge.rs &amp;&amp; ./bridge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go/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Go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портативный исходник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go run bridge.go</w:t>
            </w:r>
          </w:p>
        </w:tc>
      </w:tr>
    </w:tbl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Граница переноса проведена сознательно: замкнутые формы термодинамики — тройка элементарных функций плюс две точные константы, и они обязаны воспроизводиться в любом языке за минуту; движок же — исследовательский инструмент с 200 с ожидания и 63 тестами, и его дублирование «вслепую» запрещено дисциплиной пакета. Контрольный блок близнецов включает и маленькое точное утверждение T9: в момент Пейджа S_rad/S0 = 0,50000000000000 во всех проверенных реализациях.</w:t>
      </w:r>
    </w:p>
    <w:p>
      <w:pPr>
        <w:pStyle w:val="Heading1"/>
        <w:pBdr>
          <w:bottom w:val="single" w:color="C9A84C" w:sz="4" w:space="6"/>
        </w:pBdr>
        <w:spacing w:after="180" w:before="400" w:line="400" w:lineRule="atLeast"/>
      </w:pPr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Часть X. Воспроизведение: полный прогон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Полный цикл воспроизведения пакета укладывается в семь операций и ~3,5 минуты стеночного времени (без пересчёта кампаний) или ~8 минут с пересчётом C1–C3b. Последовательность и ожидаемые выходы: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python3 scripts/rebuild_data.py — 5 стадий, 13 таблиц, байт-идентичное воспроизведение (md5 13/13);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python3 -m pytest tests/ -q — 63 passed;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python3 -m chbridge.validate — 7/7 checks PASS (mpmath dps=50);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python3 scripts/make_figures.py --all — 28 figures written (7 × 2 lang × 2 theme);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python3 scripts/hires_figures.py --all — 68 hires figures written @ 600 dpi;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python3 scripts/make_animations.py --all — 8 animations rendered (4 × 2 lang, mp4+gif);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python3 scripts/build_workbook.py — tables/bridge_workbook.xlsx, 14 листов.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Пересчёт кампаний: python3 campaigns/run_c1.py (48 с), run_c2.py (24 с), run_c3.py (14 с), run_c3b.py (~334 с) — вердикты перезаписываются, после чего обязателен повторный rebuild_data.py; run_c6_drift.py (~2 с, только зафиксированные входы) перегенерирует дрейфовый вердикт. Времена указаны для референсной машины пакета при повторном прогоне v2.1.0. Сборка документа-приложения: node monograph/src/appendix_ru.js и appendix_en.js; том теорем — theorems_ru.js и theorems_en.js; PDF-редакции конвертируются из DOCX средством LibreOffice.</w:t>
      </w:r>
    </w:p>
    <w:p>
      <w:pPr>
        <w:pStyle w:val="Heading1"/>
        <w:pBdr>
          <w:bottom w:val="single" w:color="C9A84C" w:sz="4" w:space="6"/>
        </w:pBdr>
        <w:spacing w:after="180" w:before="400" w:line="400" w:lineRule="atLeast"/>
      </w:pPr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Часть XI. Роадмап и анализ текущего этапа</w:t>
      </w:r>
    </w:p>
    <w:p>
      <w:pPr>
        <w:pStyle w:val="Heading2"/>
        <w:spacing w:after="120" w:before="280" w:line="360" w:lineRule="atLeast"/>
      </w:pPr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XI.1. Где находится исследование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Проект находится после независимого аудита и его полного усвоения. Этап 1 (движок и его валидация) закрыт дважды: второй порядок сходимости подтверждён, а аудит IVP-15 символьно вывел структуру остатков движка (точные в SymPy остатки Робертса–Оширо, порядки p = 1,97–2,08 на окне верификатора), локализовав ограничение учёта C1 (F-3, честно задокументировано, поле спящее, обратной связи в динамику нет). Этап 2 (измерительные кампании) закрыт с учётом поправок аудита: лестница A* зафиксирована как дрейфующая наблюдаемая фиксированной сетки (отзыв ложного согласия 1,06e-6 по F-1), обе ветви порога измерены, якорное произведение зачтено на якорном уровне, закон пола измерен как закон с предмножителем (13 ± 1)/N — а сам дрейф теперь теорема (T10, кампания C6), а не досадная помеха. Этап 3 (мост как модель) закрыт: замкнутые формы, кривые Пейджа, аудит Хаара и отображение пяти шкал зафиксированы, закреплены тестами и независимо выведены с 50 знаками (IVP-04). Этап 4 (слой распространения) закрыт настоящим изданием v2.1.0: hires-фигуры 600 dpi, анимации, близнецы на семи языках, Excel-книга, двухтомник DOCX+PDF на двух языках и веб-приложение — каждая поверхность согласована с независимыми результатами. Этап 5 (движковая модернизация) — открыт и является единственным критическим путём к острым вопросам: победить закон пола и доминирующий канал дрейфа (накопление ошибки марша при околокритическом задерживании) истинным AMR.</w:t>
      </w:r>
    </w:p>
    <w:p>
      <w:pPr>
        <w:pStyle w:val="Heading2"/>
        <w:spacing w:after="120" w:before="280" w:line="360" w:lineRule="atLeast"/>
      </w:pPr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XI.2. Три открытых фронта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Фронт первый — C4: QNM-рингдаун рождённого ансамбля против септинной коррекции ω → ω(1 − 1/(1200π²)). Коррекция 8,44e-5 — на 3,5 порядка ниже текущего частотного разрешения движка, поэтому кампания проектируется как разностное измерение (две версии движка на одной сетке), а не абсолютное. Фронт второй — C5: мульти-семейственная универсальность f~(ε): второй импульсный профиль превратит бифуркационную кривую из «измерения» в «претензию на универсальность» — разница между таблицей и законом. Фронт третий — движковая модернизация: истинный AMR с адаптацией к точке накопления либо гибрид с подвижной внутренней границей; явный критерий успеха — движковый γ в пределах 10 % от 0,374 и не менее трёх разрешённых эхо-пиков, а первая фигура соответствующей работы — старая линия 12/N с тремя точками выше неё.</w:t>
      </w:r>
    </w:p>
    <w:p>
      <w:pPr>
        <w:pStyle w:val="Heading2"/>
        <w:spacing w:after="120" w:before="280" w:line="360" w:lineRule="atLeast"/>
      </w:pPr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XI.3. Критерии завершённости v3.0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Версия 3.0 считается завершённой при выполнении трёх условий: движок с полом, отличным от 12/N (или письменное доказательство непревзойдимости на данной архитектуре); C4 и C5, зафиксированные с той же дисциплиной вердиктов; движковый γ в пределах 10 % от якоря — либо честный негатив, документированный с той же тщательностью, что и текущий. Все прочие улучшения (веб-приложение, зеркала, DOI-архив) — инфраструктурные и не блокируют версию.</w:t>
      </w:r>
    </w:p>
    <w:p>
      <w:pPr>
        <w:pStyle w:val="Heading1"/>
        <w:pBdr>
          <w:bottom w:val="single" w:color="C9A84C" w:sz="4" w:space="6"/>
        </w:pBdr>
        <w:spacing w:after="180" w:before="400" w:line="400" w:lineRule="atLeast"/>
      </w:pPr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Часть XII. Глоссарий (русско-английский)</w:t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Таблица XII.1. Глоссарий</w:t>
      </w:r>
    </w:p>
    <w:tbl>
      <w:tblPr>
        <w:tblW w:type="pct" w:w="100%"/>
        <w:tblBorders>
          <w:top w:val="single" w:color="C9A84C" w:sz="6"/>
          <w:left w:val="none" w:color="FFFFFF" w:sz="0"/>
          <w:bottom w:val="single" w:color="C9A84C" w:sz="6"/>
          <w:right w:val="none" w:color="FFFFFF" w:sz="0"/>
          <w:insideH w:val="single" w:color="DDD5C0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Термин (рус.)</w:t>
            </w:r>
          </w:p>
        </w:tc>
        <w:tc>
          <w:tcPr>
            <w:tcW w:type="pct" w:w="24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Term (en)</w:t>
            </w:r>
          </w:p>
        </w:tc>
        <w:tc>
          <w:tcPr>
            <w:tcW w:type="pct" w:w="52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Определение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движок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engine</w:t>
            </w:r>
          </w:p>
        </w:tc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двойной характеристический решатель Эйнштейна (engine/solver.py)</w:t>
            </w:r>
          </w:p>
        </w:tc>
      </w:tr>
      <w:tr>
        <w:trPr>
          <w:cantSplit/>
        </w:trPr>
        <w:tc>
          <w:tcPr>
            <w:tcW w:type="pct" w:w="2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критическая амплитуда</w:t>
            </w:r>
          </w:p>
        </w:tc>
        <w:tc>
          <w:tcPr>
            <w:tcW w:type="pct" w:w="2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critical amplitude A*</w:t>
            </w:r>
          </w:p>
        </w:tc>
        <w:tc>
          <w:tcPr>
            <w:tcW w:type="pct" w:w="52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порог коллапс/дисперсия семейства профилей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спектр рождения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born spectrum</w:t>
            </w:r>
          </w:p>
        </w:tc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M_code(ε) сверхкритических прогонов</w:t>
            </w:r>
          </w:p>
        </w:tc>
      </w:tr>
      <w:tr>
        <w:trPr>
          <w:cantSplit/>
        </w:trPr>
        <w:tc>
          <w:tcPr>
            <w:tcW w:type="pct" w:w="2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доля насыщения</w:t>
            </w:r>
          </w:p>
        </w:tc>
        <w:tc>
          <w:tcPr>
            <w:tcW w:type="pct" w:w="2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saturation fraction f~</w:t>
            </w:r>
          </w:p>
        </w:tc>
        <w:tc>
          <w:tcPr>
            <w:tcW w:type="pct" w:w="52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M_code/M_sat нормировка бифуркации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массовый пол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mass floor</w:t>
            </w:r>
          </w:p>
        </w:tc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минимально разрешаемая масса сетки, ≈ 12/N</w:t>
            </w:r>
          </w:p>
        </w:tc>
      </w:tr>
      <w:tr>
        <w:trPr>
          <w:cantSplit/>
        </w:trPr>
        <w:tc>
          <w:tcPr>
            <w:tcW w:type="pct" w:w="2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эхо-пик</w:t>
            </w:r>
          </w:p>
        </w:tc>
        <w:tc>
          <w:tcPr>
            <w:tcW w:type="pct" w:w="2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echo peak</w:t>
            </w:r>
          </w:p>
        </w:tc>
        <w:tc>
          <w:tcPr>
            <w:tcW w:type="pct" w:w="52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локальный максимум q(v) в докритическом прогоне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замедление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critical slowdown</w:t>
            </w:r>
          </w:p>
        </w:tc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логарифмический рост v_qmax при ε → 0</w:t>
            </w:r>
          </w:p>
        </w:tc>
      </w:tr>
      <w:tr>
        <w:trPr>
          <w:cantSplit/>
        </w:trPr>
        <w:tc>
          <w:tcPr>
            <w:tcW w:type="pct" w:w="2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точка Пейджа</w:t>
            </w:r>
          </w:p>
        </w:tc>
        <w:tc>
          <w:tcPr>
            <w:tcW w:type="pct" w:w="2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Page time</w:t>
            </w:r>
          </w:p>
        </w:tc>
        <w:tc>
          <w:tcPr>
            <w:tcW w:type="pct" w:w="52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τ* = 1 − 2^(−3/2) — смена ветвей энтропии излучения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контакт с CMB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CMB contact</w:t>
            </w:r>
          </w:p>
        </w:tc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масса, где T_H = T_CMB (4,5016e22 кг)</w:t>
            </w:r>
          </w:p>
        </w:tc>
      </w:tr>
      <w:tr>
        <w:trPr>
          <w:cantSplit/>
        </w:trPr>
        <w:tc>
          <w:tcPr>
            <w:tcW w:type="pct" w:w="2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честный негатив</w:t>
            </w:r>
          </w:p>
        </w:tc>
        <w:tc>
          <w:tcPr>
            <w:tcW w:type="pct" w:w="2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honest negative</w:t>
            </w:r>
          </w:p>
        </w:tc>
        <w:tc>
          <w:tcPr>
            <w:tcW w:type="pct" w:w="52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неизмеряемая величина, зафиксированная как результат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вердикт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verdict</w:t>
            </w:r>
          </w:p>
        </w:tc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JSON-файл кампании с протоколом и результатами</w:t>
            </w:r>
          </w:p>
        </w:tc>
      </w:tr>
      <w:tr>
        <w:trPr>
          <w:cantSplit/>
        </w:trPr>
        <w:tc>
          <w:tcPr>
            <w:tcW w:type="pct" w:w="2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якорь</w:t>
            </w:r>
          </w:p>
        </w:tc>
        <w:tc>
          <w:tcPr>
            <w:tcW w:type="pct" w:w="2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anchor</w:t>
            </w:r>
          </w:p>
        </w:tc>
        <w:tc>
          <w:tcPr>
            <w:tcW w:type="pct" w:w="52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литературная константа для сравнения (не цель фита)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мусорная строка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junk row</w:t>
            </w:r>
          </w:p>
        </w:tc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прогон с переполнением; сохраняется с флагом</w:t>
            </w:r>
          </w:p>
        </w:tc>
      </w:tr>
      <w:tr>
        <w:trPr>
          <w:cantSplit/>
        </w:trPr>
        <w:tc>
          <w:tcPr>
            <w:tcW w:type="pct" w:w="2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близнец</w:t>
            </w:r>
          </w:p>
        </w:tc>
        <w:tc>
          <w:tcPr>
            <w:tcW w:type="pct" w:w="2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twin</w:t>
            </w:r>
          </w:p>
        </w:tc>
        <w:tc>
          <w:tcPr>
            <w:tcW w:type="pct" w:w="52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реализация контрольного блока на другом языке</w:t>
            </w:r>
          </w:p>
        </w:tc>
      </w:tr>
    </w:tbl>
    <w:p>
      <w:pPr>
        <w:pStyle w:val="Heading1"/>
        <w:pBdr>
          <w:bottom w:val="single" w:color="C9A84C" w:sz="4" w:space="6"/>
        </w:pBdr>
        <w:spacing w:after="180" w:before="400" w:line="400" w:lineRule="atLeast"/>
      </w:pPr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Часть XIII. Часто задаваемые вопросы</w:t>
      </w:r>
    </w:p>
    <w:p>
      <w:pPr>
        <w:pStyle w:val="Heading2"/>
        <w:spacing w:after="120" w:before="280" w:line="360" w:lineRule="atLeast"/>
      </w:pPr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Почему в ансамбле три члена и именно такие f~?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Члены ансамбля — три характерные точки измеренной бифуркации: ближний к полу (f~ = 0,287708), средний (0,268393) и насыщенный (1,0). Они покрывают диапазон отображения моста от «едва родившейся» до «насыщенной» дыры и одновременно служат тестом нормировки: кривые Пейджа трёх членов, нормированные на S0, пересекаются в одной точке (τ*, 1/2) — следствие T9.</w:t>
      </w:r>
    </w:p>
    <w:p>
      <w:pPr>
        <w:pStyle w:val="Heading2"/>
        <w:spacing w:after="120" w:before="280" w:line="360" w:lineRule="atLeast"/>
      </w:pPr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Почему γ_Ch не используется как цель подгонки?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Потому что это разрушает методологию: якорь, ставший целью, перестаёт быть проверкой. Пакет измеряет γ_eff собственным решателем и честно фиксирует определяемые полом значения по каждой сетке — 0,041/0,060 (r² = 0,33/0,41) на достижимой полосе; расхождение с 0,374 — не ошибка, а указание на пол (T5) и на необходимость AMR. Значение v2.0.0 около 0,12 было артефактом смещения оси ε (находка аудита F-2) и отозвано. Такой выбор делает каждое совпадение с литературой осмысленным, а каждое расхождение — информативным.</w:t>
      </w:r>
    </w:p>
    <w:p>
      <w:pPr>
        <w:pStyle w:val="Heading2"/>
        <w:spacing w:after="120" w:before="280" w:line="360" w:lineRule="atLeast"/>
      </w:pPr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Почему A* различается между сетками — движок сломан?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Нет — дрейф является теоремой. Формула классификации действует на дискретизованные параболические структуры: выборка сплющивает их пик ровно на κh²/8 и укорачивает ломаную относительно непрерывной дуги (теорема T10, кампания C6, машинно проверенные леммы). Одна формула на перемасштабированных сетках поэтому обязана возвращать разные значения, причём лестница приближается к континуальному порогу сверху. Аудит нашёл (F-1) иное и более узкое: ложным было заявление v2.0.0, что дрейф составляет лишь 1,06e-6. Лекарством была честность, а не «починка»: полная пятиуровневая лестница зафиксирована, A*_∞ не утверждается, а сам закон дрейфа теперь выведен, измерен и закреплён.</w:t>
      </w:r>
    </w:p>
    <w:p>
      <w:pPr>
        <w:pStyle w:val="Heading2"/>
        <w:spacing w:after="120" w:before="280" w:line="360" w:lineRule="atLeast"/>
      </w:pPr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Что означает «все кампании с чистого листа»?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Каждая движковая кампания C1, C2, C3, C3b выполняется заново на зафиксированной версии пакета с нулевой историей: вердикты несут свежие таймстампы, а физика совпадает с предыдущей сборкой байт-в-байт, что подтверждает детерминизм движка — это подтверждено и повторным прогоном v2.1.0, и чистоустановочным аудитом IVP-02 (байт-идентичный канонический расчёт на Python 3.12 и 3.13). В ZIP-поставке нет следов старых версий — пакет вставляется в сторонний репозиторий как единая папка.</w:t>
      </w:r>
    </w:p>
    <w:p>
      <w:pPr>
        <w:pStyle w:val="Heading2"/>
        <w:spacing w:after="120" w:before="280" w:line="360" w:lineRule="atLeast"/>
      </w:pPr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Почему PDF-редакции делаются из DOCX, а не напрямую?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Единственный источник текста — DOCX-генераторы monograph/src/*.js: они держат русскую и английскую редакции в структурном соответствии (одни таблицы, одни фигуры, одна нумерация). PDF получается конвертацией LibreOffice, что гарантирует идентичность содержимого обоих форматов и позволяет правки в одном месте. Генераторы входят в поставку — приложение воспроизводимо.</w:t>
      </w:r>
    </w:p>
    <w:p>
      <w:pPr>
        <w:pStyle w:val="Heading2"/>
        <w:spacing w:after="120" w:before="280" w:line="360" w:lineRule="atLeast"/>
      </w:pPr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Как расширить пакет новой кампанией?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Добавить runners-скрипт в campaigns/, зафиксировать вердикт JSON, расширить Part C constants.py, добавить pin-тесты в tests/test_campaigns.py, одну строку в results/RESULTS.md и одну фигуру в hires-каталог. Конвейер rebuild_data.py подхватит таблицы автоматически; данное приложение и веб-приложение обновляются правкой одного списка. Именно так были добавлены C2, C3b и — на v2.1.0 — аналитическая кампания C6, и протокол проверен трижды.</w:t>
      </w:r>
    </w:p>
    <w:sectPr>
      <w:headerReference w:type="default" r:id="rId9"/>
      <w:footerReference w:type="default" r:id="rId10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0505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0505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5C0" w:sz="2" w:space="4"/>
      </w:pBdr>
      <w:jc w:val="center"/>
    </w:pPr>
    <w:r>
      <w:rPr>
        <w:rFonts w:ascii="Times New Roman" w:cs="Times New Roman" w:eastAsia="Times New Roman" w:hAnsi="Times New Roman"/>
        <w:i/>
        <w:iCs/>
        <w:color w:val="505050"/>
        <w:sz w:val="18"/>
        <w:szCs w:val="18"/>
      </w:rPr>
      <w:t xml:space="preserve">Энциклопедическое приложение · Collapse-Hawking Bridge v2.1.0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5C0" w:sz="2" w:space="4"/>
      </w:pBdr>
      <w:jc w:val="center"/>
    </w:pPr>
    <w:r>
      <w:rPr>
        <w:rFonts w:ascii="Times New Roman" w:cs="Times New Roman" w:eastAsia="Times New Roman" w:hAnsi="Times New Roman"/>
        <w:i/>
        <w:iCs/>
        <w:color w:val="505050"/>
        <w:sz w:val="18"/>
        <w:szCs w:val="18"/>
      </w:rPr>
      <w:t xml:space="preserve">Энциклопедическое приложение · Collapse-Hawking Bridge v2.1.0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Times New Roman" w:hAnsi="Times New Roman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hAnsi="Times New Roman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Times New Roman" w:hAnsi="Times New Roman"/>
      <w:b/>
      <w:bCs/>
      <w:color w:val="1A1A1A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0c3754c7d329aad2421162c765d675d1973c7993.png"/><Relationship Id="rId12" Type="http://schemas.openxmlformats.org/officeDocument/2006/relationships/image" Target="media/163d2533be6c1a4cdb3b54887d8100c0f5d07480.png"/><Relationship Id="rId13" Type="http://schemas.openxmlformats.org/officeDocument/2006/relationships/image" Target="media/f30bfe04d737138396ec3536842c60c65370927a.png"/><Relationship Id="rId14" Type="http://schemas.openxmlformats.org/officeDocument/2006/relationships/image" Target="media/55735343a4915e856077cca00abd985a8a695d22.png"/><Relationship Id="rId15" Type="http://schemas.openxmlformats.org/officeDocument/2006/relationships/image" Target="media/e9830af0bb04cfa44ab6f5e9d139e0f3e7370c31.png"/><Relationship Id="rId16" Type="http://schemas.openxmlformats.org/officeDocument/2006/relationships/image" Target="media/ed246dc72abde5cd45455f77a5c0e735335c33dc.png"/><Relationship Id="rId17" Type="http://schemas.openxmlformats.org/officeDocument/2006/relationships/image" Target="media/e7cef42f566222f7f8ed6057504e9efe3753c511.png"/><Relationship Id="rId18" Type="http://schemas.openxmlformats.org/officeDocument/2006/relationships/image" Target="media/ad862ce1299eaafcbc1fe0eec00d5c54b7b79974.png"/><Relationship Id="rId19" Type="http://schemas.openxmlformats.org/officeDocument/2006/relationships/image" Target="media/a274242fc1ef1eca0e004876d72e616c448f19f8.png"/><Relationship Id="rId20" Type="http://schemas.openxmlformats.org/officeDocument/2006/relationships/image" Target="media/7af397004d794dff173e2c40b249cd3c0de2ee9e.png"/><Relationship Id="rId21" Type="http://schemas.openxmlformats.org/officeDocument/2006/relationships/image" Target="media/770cde3c5a0862359f09d9a6afe1de5e2933fed4.png"/><Relationship Id="rId22" Type="http://schemas.openxmlformats.org/officeDocument/2006/relationships/image" Target="media/529f7434689a3afd63e0a6ccc500ed3b9765b815.png"/><Relationship Id="rId23" Type="http://schemas.openxmlformats.org/officeDocument/2006/relationships/image" Target="media/f1623f496a100d9efd2f001ca975cf4d997b8892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Энциклопедическое приложение к монографии</dc:title>
  <dc:creator>Z.ai</dc:creator>
  <dc:description>Мост «Коллапс–Хокинг»: константы, движок, кампании, термодинамика, данные и воспроизведение</dc:description>
  <cp:lastModifiedBy>Un-named</cp:lastModifiedBy>
  <cp:revision>1</cp:revision>
  <dcterms:created xsi:type="dcterms:W3CDTF">2026-10-09T08:31:33.105Z</dcterms:created>
  <dcterms:modified xsi:type="dcterms:W3CDTF">2026-10-09T08:31:33.106Z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