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vAlign w:val="top"/>
          </w:tcPr>
          <w:p>
            <w:pPr>
              <w:pBdr>
                <w:top w:val="single" w:color="C9A84C" w:sz="18" w:space="20"/>
              </w:pBdr>
              <w:spacing w:after="200" w:before="1200"/>
              <w:ind w:left="1000" w:right="1000"/>
            </w:pPr>
          </w:p>
          <w:p>
            <w:pPr>
              <w:spacing w:before="1700"/>
            </w:pPr>
          </w:p>
          <w:p>
            <w:pPr>
              <w:spacing w:after="500"/>
              <w:jc w:val="center"/>
            </w:pPr>
            <w:r>
              <w:rPr>
                <w:rFonts w:ascii="Times New Roman"/>
                <w:color w:val="C9A84C"/>
                <w:spacing w:val="40"/>
                <w:sz w:val="18"/>
                <w:szCs w:val="18"/>
              </w:rPr>
              <w:t xml:space="preserve">Q  U  A  R  K     H  A  W  K  I  N  G     B  R  I  D  G  E</w:t>
            </w:r>
          </w:p>
          <w:p>
            <w:pPr>
              <w:spacing w:after="80" w:line="920" w:lineRule="atLeast"/>
              <w:jc w:val="center"/>
            </w:pPr>
            <w:r>
              <w:rPr>
                <w:rFonts w:ascii="Times New Roman" w:eastAsia="Times New Roman" w:hAnsi="Times New Roman"/>
                <w:b/>
                <w:bCs/>
                <w:color w:val="FFFFFF"/>
                <w:sz w:val="80"/>
                <w:szCs w:val="80"/>
              </w:rPr>
              <w:t xml:space="preserve">The</w:t>
            </w:r>
          </w:p>
          <w:p>
            <w:pPr>
              <w:spacing w:after="80" w:line="920" w:lineRule="atLeast"/>
              <w:jc w:val="center"/>
            </w:pPr>
            <w:r>
              <w:rPr>
                <w:rFonts w:ascii="Times New Roman" w:eastAsia="Times New Roman" w:hAnsi="Times New Roman"/>
                <w:b/>
                <w:bCs/>
                <w:color w:val="FFFFFF"/>
                <w:sz w:val="80"/>
                <w:szCs w:val="80"/>
              </w:rPr>
              <w:t xml:space="preserve">Quark–Hawking</w:t>
            </w:r>
          </w:p>
          <w:p>
            <w:pPr>
              <w:spacing w:after="300" w:line="920" w:lineRule="atLeast"/>
              <w:jc w:val="center"/>
            </w:pPr>
            <w:r>
              <w:rPr>
                <w:rFonts w:ascii="Times New Roman" w:eastAsia="Times New Roman" w:hAnsi="Times New Roman"/>
                <w:b/>
                <w:bCs/>
                <w:color w:val="FFFFFF"/>
                <w:sz w:val="80"/>
                <w:szCs w:val="80"/>
              </w:rPr>
              <w:t xml:space="preserve">Bridge</w:t>
            </w:r>
          </w:p>
          <w:p>
            <w:pPr>
              <w:spacing w:after="400" w:line="340" w:lineRule="atLeast"/>
              <w:ind w:left="800" w:right="800"/>
              <w:jc w:val="center"/>
            </w:pPr>
            <w:r>
              <w:rPr>
                <w:rFonts w:ascii="Times New Roman" w:eastAsia="Times New Roman" w:hAnsi="Times New Roman"/>
                <w:color w:val="B0B8C0"/>
                <w:sz w:val="24"/>
                <w:szCs w:val="24"/>
              </w:rPr>
              <w:t xml:space="preserve">A monolithic study of confinement: 12 campaigns · 15 theorems · 30 claims · IVP-12 audit</w:t>
            </w:r>
          </w:p>
          <w:p>
            <w:pPr>
              <w:spacing w:before="1100"/>
            </w:pPr>
          </w:p>
          <w:p>
            <w:pPr>
              <w:spacing w:after="100" w:line="414" w:lineRule="atLeast"/>
              <w:jc w:val="center"/>
            </w:pPr>
            <w:r>
              <w:rPr>
                <w:rFonts w:ascii="Times New Roman" w:eastAsia="Times New Roman" w:hAnsi="Times New Roman"/>
                <w:color w:val="90989F"/>
                <w:sz w:val="36"/>
                <w:szCs w:val="36"/>
              </w:rPr>
              <w:t xml:space="preserve">Author: Isaac Isaev</w:t>
            </w:r>
          </w:p>
          <w:p>
            <w:pPr>
              <w:spacing w:after="100" w:line="414" w:lineRule="atLeast"/>
              <w:jc w:val="center"/>
            </w:pPr>
            <w:r>
              <w:rPr>
                <w:rFonts w:ascii="Times New Roman" w:eastAsia="Times New Roman" w:hAnsi="Times New Roman"/>
                <w:color w:val="90989F"/>
                <w:sz w:val="36"/>
                <w:szCs w:val="36"/>
              </w:rPr>
              <w:t xml:space="preserve">Merged builds: v1.2.0 + v1.3.0</w:t>
            </w:r>
          </w:p>
          <w:p>
            <w:pPr>
              <w:spacing w:after="100" w:line="414" w:lineRule="atLeast"/>
              <w:jc w:val="center"/>
            </w:pPr>
            <w:r>
              <w:rPr>
                <w:rFonts w:ascii="Times New Roman" w:eastAsia="Times New Roman" w:hAnsi="Times New Roman"/>
                <w:color w:val="90989F"/>
                <w:sz w:val="36"/>
                <w:szCs w:val="36"/>
              </w:rPr>
              <w:t xml:space="preserve">Audit: IVP-12 · 12/12 PASS</w:t>
            </w:r>
          </w:p>
          <w:p>
            <w:pPr>
              <w:spacing w:after="100" w:line="414" w:lineRule="atLeast"/>
              <w:jc w:val="center"/>
            </w:pPr>
            <w:r>
              <w:rPr>
                <w:rFonts w:ascii="Times New Roman" w:eastAsia="Times New Roman" w:hAnsi="Times New Roman"/>
                <w:color w:val="90989F"/>
                <w:sz w:val="36"/>
                <w:szCs w:val="36"/>
              </w:rPr>
              <w:t xml:space="preserve">Edition: v2.3.0 · Mathlib port, X1–X13 and the iron layer</w:t>
            </w:r>
          </w:p>
          <w:p>
            <w:pPr>
              <w:spacing w:after="100" w:line="414" w:lineRule="atLeast"/>
              <w:jc w:val="center"/>
            </w:pPr>
            <w:r>
              <w:rPr>
                <w:rFonts w:ascii="Times New Roman" w:eastAsia="Times New Roman" w:hAnsi="Times New Roman"/>
                <w:color w:val="90989F"/>
                <w:sz w:val="36"/>
                <w:szCs w:val="36"/>
              </w:rPr>
              <w:t xml:space="preserve">Date: October 10, 2026</w:t>
            </w:r>
          </w:p>
          <w:p>
            <w:pPr>
              <w:spacing w:before="1900"/>
            </w:pPr>
          </w:p>
          <w:p>
            <w:pPr>
              <w:pBdr>
                <w:bottom w:val="single" w:color="C9A84C" w:sz="18" w:space="20"/>
              </w:pBdr>
              <w:spacing w:before="200"/>
              <w:ind w:left="1000" w:right="1000"/>
              <w:jc w:val="center"/>
            </w:pPr>
            <w:r>
              <w:rPr>
                <w:rFonts w:ascii="Times New Roman"/>
                <w:color w:val="687078"/>
                <w:sz w:val="18"/>
                <w:szCs w:val="18"/>
              </w:rPr>
              <w:t xml:space="preserve">QHB · Monograph   ·   EN · 2026</w:t>
            </w:r>
          </w:p>
        </w:tc>
      </w:tr>
    </w:tbl>
    <w:p>
      <w:pPr>
        <w:sectPr>
          <w:pgSz w:w="11906" w:h="16838" w:orient="portrait"/>
          <w:pgMar w:top="0" w:right="0" w:bottom="0" w:left="0" w:header="708" w:footer="708" w:gutter="0"/>
          <w:docGrid w:linePitch="360"/>
        </w:sectPr>
      </w:pPr>
    </w:p>
    <w:p>
      <w:pPr>
        <w:pStyle w:val="Heading1"/>
        <w:pBdr>
          <w:bottom w:val="single" w:color="C9A84C" w:sz="6" w:space="4"/>
        </w:pBdr>
        <w:spacing w:after="160" w:before="400" w:line="400" w:lineRule="atLeast"/>
        <w:jc w:val="left"/>
      </w:pPr>
      <w:bookmarkStart w:id="100000" w:name="_Toc100000"/>
      <w:r>
        <w:rPr>
          <w:rFonts w:ascii="Times New Roman" w:eastAsia="Times New Roman" w:hAnsi="Times New Roman"/>
          <w:b/>
          <w:bCs/>
          <w:color w:val="1A1A1A"/>
          <w:sz w:val="32"/>
          <w:szCs w:val="32"/>
        </w:rPr>
        <w:t xml:space="preserve">Abstract</w:t>
      </w:r>
      <w:bookmarkEnd w:id="100000"/>
    </w:p>
    <w:p>
      <w:pPr>
        <w:spacing w:after="80" w:line="360"/>
        <w:ind w:firstLine="709"/>
        <w:jc w:val="both"/>
      </w:pPr>
      <text>This monograph merges two builds of the Quark–Hawking Bridge (QHB) research package into a single monolithic study of quark confinement and the Yang–Mills mass gap. The package runs twelve computational campaigns (C1–C12), proves fifteen theorems (T1–T15) about committed toy models, passes a twelve-pass independent audit (IVP-12, 12/12 PASS), and maintains an Evidence Engine of thirty claims in five statuses — each with a one-line falsifier and a five-field uncertainty budget. Six honest negatives are recorded as first-class results, and the single hypothesis (the continuum gap) is isolated and never used in conclusions.</text>
    </w:p>
    <w:p>
      <w:pPr>
        <w:spacing w:after="80" w:line="360"/>
        <w:ind w:firstLine="709"/>
        <w:jc w:val="both"/>
      </w:pPr>
      <text>Key numbers: valley bottom β* = 3.3583 at Δ_F,min = 0.181777; detector threshold 0.0363485; falsified naive closure point β_c = 2.9910 (gap 6.3× the threshold); free-trio escape probability P_esc = 0.2433 ± 0.0043; vortex frequency ω = 3/(2π); static anchor barrier V* = 0.9359375 (0/300 escapes); Aref boundedness r_max = 2.7654 against the bound 4.5076; asymmetry-lock threshold η_crit = 0.0908885 with a margin of 1.49×10</text>
      <text>8</text>
      <text> over the cosmological asymmetry η_B = 6.1×10</text>
      <text>-10</text>
      <text>.</text>
    </w:p>
    <w:p>
      <w:pPr>
        <w:spacing w:after="80" w:line="360"/>
        <w:ind w:firstLine="709"/>
        <w:jc w:val="both"/>
      </w:pPr>
      <text>New in the monolithic edition: a cross-version audit of the two builds (maximum deviation 4.2×10</text>
      <text>-5</text>
      <text> — an editorial rounding), an independent mpmath/sympy re-verification of the exact constants at one hundred digits, six new sensitive tests (a drift-law refit, a fine η-scan, C5 binomial statistics, margin digit stability, a Wilson interval, the second C9 falsifier), a documentation audit (six prose-versus-canon discrepancies), a Lean 4 formalization of the theorems, and a unified archive with all derivations. The exposition targets physics referees: every claim carries a falsifier and a data address.</text>
    </w:p>
    <w:p>
      <w:pPr>
        <w:spacing w:after="80" w:line="360"/>
        <w:ind w:firstLine="709"/>
        <w:jc w:val="both"/>
      </w:pPr>
      <text>New in edition v2.1.0 — the execution of roadmap R1–R7: a volume ladder up to L = 10</text>
      <text>6</text>
      <text> with a convergence order of exactly one (residual 2×10</text>
      <text>-16</text>
      <text>); the closed branch laws of the vortex spectrum under unequal circulations, ν_tr = (2+γ)/2π and ν_int = √(3(1+2γ))/2π, with the Synge threshold γ* = 0.5; the linear thermal boundary of the lock η_crit(T) with its death temperature T_death = 0.003414 = T_c/25.9 — a new honesty condition for a cold gap sector; the invulnerability of negative T5 under every resolution scaling and the tail-shape extraction threshold f_crit = 0.1929; an external comparison with the bounds of real nugget searches X1–X8; the Lean scaffold grown to seven closed kernels; a byte-for-byte re-verification of the twins. Eight new predictions P-R1…P-R4 carry one-line falsifiers and addresses in roadmap_results.json.</text>
    </w:p>
    <w:p>
      <w:pPr>
        <w:spacing w:after="80" w:line="360"/>
        <w:ind w:firstLine="709"/>
        <w:jc w:val="both"/>
      </w:pPr>
      <text>New in edition v2.2.0 — the two remaining roadmap candidates executed plus a new methodological layer. The branch laws of the vortex spectrum are proved analytically: χ(C</text>
      <text>0</text>
      <text>) = λ</text>
      <text>2</text>
      <text>(λ</text>
      <text>2</text>
      <text>+(2+γ)</text>
      <text>2</text>
      <text>)(λ</text>
      <text>2</text>
      <text>+3(1+2γ)) with a deviation of 0.0 at every step; the circulation dispersion law is confirmed at fifty digits (dev 1.5×10</text>
      <text>-16</text>
      <text>). A cosmological cooling scenario of the gap sector below T_death is built: the deadline t_death/t_c = (T_c/T_death)^(1/α) (673·t_c at α = 1/2), the survival integral with hot dominance (78.5% from [T_c/2, T_c]), a dynamic deadline t_lim = 4.04×10</text>
      <text>-11</text>
      <text> and a stall cliff across twenty-two orders of magnitude; the race Monte Carlo agrees within 1.2σ. Five convergence ladders to infinity are driven to their limits: solver order 4.0956, continuum extrapolation 0–5.6×10</text>
      <text>-17</text>
      <text> from the first three rungs, slow 1/ln N and n^(−1/2); seven new predictions P-C1…P-C4 and P-L1…P-L3; the Lean scaffold reaches 451 lines and ten closed kernels. Edition v2.3.0 ports the proof of T19 into Mathlib — eight new closed kernels on top of Matrix.charpoly with an axiom audit — fixes the sign of the stall-cliff monotonicity (erratum T20.stall: τ_max strictly decreases in T), extends the external search bounds to X1–X13 with 2024–2026 sources, and adds the iron reproducibility layer: Iron-QA tools, Lean/Mathlib CI verification, release checksums; eighteen closed kernels in total.</text>
    </w:p>
    <w:p>
      <w:pPr>
        <w:spacing w:after="80" w:before="120" w:line="340"/>
      </w:pPr>
      <text>Keywords: confinement; mass gap; Yang–Mills; Wilson law; three-body problem; Kirchhoff vortices; Fermat point; WKB; matter asymmetry; honesty discipline; reproducibility.</text>
    </w:p>
    <w:p>
      <w:r>
        <w:br w:type="page"/>
      </w:r>
    </w:p>
    <w:p>
      <w:pPr>
        <w:spacing w:after="360" w:before="480"/>
        <w:jc w:val="center"/>
      </w:pPr>
      <w:r>
        <w:rPr>
          <w:rFonts w:ascii="Times New Roman" w:eastAsia="Times New Roman" w:hAnsi="Times New Roman"/>
          <w:b/>
          <w:bCs/>
          <w:color w:val="1A1A1A"/>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Chapter 1. Introduction: the Quark–Hawking Bridge Program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The four links of the hypothesis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Hypothesis status and the honesty discipline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Structure of the monograph</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Chapter 2. Model Class and Normalizations N1–N8</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2.1. The G-model: chain + two-band Floquet</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Normalizations N1–N8</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2.3. The laws the model class sustains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Chapter 3. Theoretical Core: Theorems T1–T15</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The gap sector: T1–T3</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3.2. The three-body group: T6–T10</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3.3. The vortex anchor and the lock: T11–T15</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Chapter 4. Campaigns C1–C4: Gap, String, Temperature, Detector</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4.1. C1 — the finite-volume gap</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4.2. C2 — string tension</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4.3. C3 — the bridge temperature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4.4. C4 — detector response and the unresolved tail</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Chapter 5. Campaigns C5–C8: Three-Body Dynamics</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5.1. C5 — the free three bodies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5.2. C6 — the confined Y-string spectrum</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5.3. C7 — tunneling through the linear barrier</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5.4. C8 — bootstrap and jackknife of the valley</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Chapter 6. Campaigns C9–C10: Phase Map and Competing Models</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6.1. C9 — the gap phase map</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6.2. C10 — factorial ablation: who opens the gap</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Chapter 7. Campaigns C11–C12: Vortex Anchor and Asymmetry Lock</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7.1. C11 — the Kirchhoff vortex anchor</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7.2. C12 — the asymmetry lock</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Chapter 8. Evidence Engine: 30 Claims</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Chapter 9. Independent Audit IVP-12 and Reproducibility</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9.1. The twelve audit passes</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9.2. The deep-check battery and determinism</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Chapter 10. Honest Negatives and the Limits of Applicability</w:t>
            </w:r>
            <w:r>
              <w:tab/>
            </w:r>
            <w:r>
              <w:fldChar w:fldCharType="begin"/>
            </w:r>
            <w:r>
              <w:instrText xml:space="preserve"> PAGEREF _Toc100033 \h </w:instrText>
            </w:r>
            <w:r>
              <w:fldChar w:fldCharType="separate"/>
            </w:r>
            <w:r>
              <w:t>17</w:t>
            </w:r>
            <w:r>
              <w:fldChar w:fldCharType="end"/>
            </w:r>
          </w:hyperlink>
        </w:p>
        <w:p>
          <w:pPr>
            <w:pStyle w:val="9"/>
            <w:tabs>
              <w:tab w:val="right" w:leader="dot" w:pos="9026"/>
            </w:tabs>
            <w:spacing w:before="120" w:after="60"/>
          </w:pPr>
          <w:hyperlink w:anchor="_Toc100034" w:history="1">
            <w:r>
              <w:rPr>
                <w:rStyle w:val="Hyperlink"/>
              </w:rPr>
              <w:t>Chapter 11. Additional Research: Cross-Version Verification and New Tests</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11.1. Cross-version audit v1.2.0 ↔ v1.3.0</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11.2. Independent verification of constants at 100 digits</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11.3. New sensitive tests</w:t>
            </w:r>
            <w:r>
              <w:tab/>
            </w:r>
            <w:r>
              <w:fldChar w:fldCharType="begin"/>
            </w:r>
            <w:r>
              <w:instrText xml:space="preserve"> PAGEREF _Toc100037 \h </w:instrText>
            </w:r>
            <w:r>
              <w:fldChar w:fldCharType="separate"/>
            </w:r>
            <w:r>
              <w:t>19</w:t>
            </w:r>
            <w:r>
              <w:fldChar w:fldCharType="end"/>
            </w:r>
          </w:hyperlink>
        </w:p>
        <w:p>
          <w:pPr>
            <w:pStyle w:val="11"/>
            <w:ind w:left="360"/>
            <w:tabs>
              <w:tab w:val="right" w:leader="dot" w:pos="9026"/>
            </w:tabs>
            <w:spacing w:before="120" w:after="60"/>
          </w:pPr>
          <w:hyperlink w:anchor="_Toc100038" w:history="1">
            <w:r>
              <w:rPr>
                <w:rStyle w:val="Hyperlink"/>
              </w:rPr>
              <w:t>11.4. Documentation audit</w:t>
            </w:r>
            <w:r>
              <w:tab/>
            </w:r>
            <w:r>
              <w:fldChar w:fldCharType="begin"/>
            </w:r>
            <w:r>
              <w:instrText xml:space="preserve"> PAGEREF _Toc100038 \h </w:instrText>
            </w:r>
            <w:r>
              <w:fldChar w:fldCharType="separate"/>
            </w:r>
            <w:r>
              <w:t>20</w:t>
            </w:r>
            <w:r>
              <w:fldChar w:fldCharType="end"/>
            </w:r>
          </w:hyperlink>
        </w:p>
        <w:p>
          <w:pPr>
            <w:pStyle w:val="9"/>
            <w:tabs>
              <w:tab w:val="right" w:leader="dot" w:pos="9026"/>
            </w:tabs>
            <w:spacing w:before="120" w:after="60"/>
          </w:pPr>
          <w:hyperlink w:anchor="_Toc100039" w:history="1">
            <w:r>
              <w:rPr>
                <w:rStyle w:val="Hyperlink"/>
              </w:rPr>
              <w:t>Chapter 12. Master Table of Key Numbers</w:t>
            </w:r>
            <w:r>
              <w:tab/>
            </w:r>
            <w:r>
              <w:fldChar w:fldCharType="begin"/>
            </w:r>
            <w:r>
              <w:instrText xml:space="preserve"> PAGEREF _Toc100039 \h </w:instrText>
            </w:r>
            <w:r>
              <w:fldChar w:fldCharType="separate"/>
            </w:r>
            <w:r>
              <w:t>21</w:t>
            </w:r>
            <w:r>
              <w:fldChar w:fldCharType="end"/>
            </w:r>
          </w:hyperlink>
        </w:p>
        <w:p>
          <w:pPr>
            <w:pStyle w:val="9"/>
            <w:tabs>
              <w:tab w:val="right" w:leader="dot" w:pos="9026"/>
            </w:tabs>
            <w:spacing w:before="120" w:after="60"/>
          </w:pPr>
          <w:hyperlink w:anchor="_Toc100040" w:history="1">
            <w:r>
              <w:rPr>
                <w:rStyle w:val="Hyperlink"/>
              </w:rPr>
              <w:t>Chapter 13. Roadmap and Future Work</w:t>
            </w:r>
            <w:r>
              <w:tab/>
            </w:r>
            <w:r>
              <w:fldChar w:fldCharType="begin"/>
            </w:r>
            <w:r>
              <w:instrText xml:space="preserve"> PAGEREF _Toc100040 \h </w:instrText>
            </w:r>
            <w:r>
              <w:fldChar w:fldCharType="separate"/>
            </w:r>
            <w:r>
              <w:t>21</w:t>
            </w:r>
            <w:r>
              <w:fldChar w:fldCharType="end"/>
            </w:r>
          </w:hyperlink>
        </w:p>
        <w:p>
          <w:pPr>
            <w:pStyle w:val="9"/>
            <w:tabs>
              <w:tab w:val="right" w:leader="dot" w:pos="9026"/>
            </w:tabs>
            <w:spacing w:before="120" w:after="60"/>
          </w:pPr>
          <w:hyperlink w:anchor="_Toc100041" w:history="1">
            <w:r>
              <w:rPr>
                <w:rStyle w:val="Hyperlink"/>
              </w:rPr>
              <w:t>Conclusion</w:t>
            </w:r>
            <w:r>
              <w:tab/>
            </w:r>
            <w:r>
              <w:fldChar w:fldCharType="begin"/>
            </w:r>
            <w:r>
              <w:instrText xml:space="preserve"> PAGEREF _Toc100041 \h </w:instrText>
            </w:r>
            <w:r>
              <w:fldChar w:fldCharType="separate"/>
            </w:r>
            <w:r>
              <w:t>22</w:t>
            </w:r>
            <w:r>
              <w:fldChar w:fldCharType="end"/>
            </w:r>
          </w:hyperlink>
        </w:p>
        <w:p>
          <w:pPr>
            <w:pStyle w:val="9"/>
            <w:tabs>
              <w:tab w:val="right" w:leader="dot" w:pos="9026"/>
            </w:tabs>
            <w:spacing w:before="120" w:after="60"/>
          </w:pPr>
          <w:hyperlink w:anchor="_Toc100042" w:history="1">
            <w:r>
              <w:rPr>
                <w:rStyle w:val="Hyperlink"/>
              </w:rPr>
              <w:t>References</w:t>
            </w:r>
            <w:r>
              <w:tab/>
            </w:r>
            <w:r>
              <w:fldChar w:fldCharType="begin"/>
            </w:r>
            <w:r>
              <w:instrText xml:space="preserve"> PAGEREF _Toc100042 \h </w:instrText>
            </w:r>
            <w:r>
              <w:fldChar w:fldCharType="separate"/>
            </w:r>
            <w:r>
              <w:t>23</w:t>
            </w:r>
            <w:r>
              <w:fldChar w:fldCharType="end"/>
            </w:r>
          </w:hyperlink>
        </w:p>
        <w:p>
          <w:pPr>
            <w:pStyle w:val="9"/>
            <w:tabs>
              <w:tab w:val="right" w:leader="dot" w:pos="9026"/>
            </w:tabs>
            <w:spacing w:before="120" w:after="60"/>
          </w:pPr>
          <w:hyperlink w:anchor="_Toc100043" w:history="1">
            <w:r>
              <w:rPr>
                <w:rStyle w:val="Hyperlink"/>
              </w:rPr>
              <w:t>Appendix A. Lean 4 Formalization</w:t>
            </w:r>
            <w:r>
              <w:tab/>
            </w:r>
            <w:r>
              <w:fldChar w:fldCharType="begin"/>
            </w:r>
            <w:r>
              <w:instrText xml:space="preserve"> PAGEREF _Toc100043 \h </w:instrText>
            </w:r>
            <w:r>
              <w:fldChar w:fldCharType="separate"/>
            </w:r>
            <w:r>
              <w:t>26</w:t>
            </w:r>
            <w:r>
              <w:fldChar w:fldCharType="end"/>
            </w:r>
          </w:hyperlink>
        </w:p>
        <w:p>
          <w:pPr>
            <w:pStyle w:val="9"/>
            <w:tabs>
              <w:tab w:val="right" w:leader="dot" w:pos="9026"/>
            </w:tabs>
            <w:spacing w:before="120" w:after="60"/>
          </w:pPr>
          <w:hyperlink w:anchor="_Toc100044" w:history="1">
            <w:r>
              <w:rPr>
                <w:rStyle w:val="Hyperlink"/>
              </w:rPr>
              <w:t>Appendix B. Multilingual Verification Twins</w:t>
            </w:r>
            <w:r>
              <w:tab/>
            </w:r>
            <w:r>
              <w:fldChar w:fldCharType="begin"/>
            </w:r>
            <w:r>
              <w:instrText xml:space="preserve"> PAGEREF _Toc100044 \h </w:instrText>
            </w:r>
            <w:r>
              <w:fldChar w:fldCharType="separate"/>
            </w:r>
            <w:r>
              <w:t>36</w:t>
            </w:r>
            <w:r>
              <w:fldChar w:fldCharType="end"/>
            </w:r>
          </w:hyperlink>
        </w:p>
        <w:p>
          <w:pPr>
            <w:pStyle w:val="9"/>
            <w:tabs>
              <w:tab w:val="right" w:leader="dot" w:pos="9026"/>
            </w:tabs>
            <w:spacing w:before="120" w:after="60"/>
          </w:pPr>
          <w:hyperlink w:anchor="_Toc100045" w:history="1">
            <w:r>
              <w:rPr>
                <w:rStyle w:val="Hyperlink"/>
              </w:rPr>
              <w:t>Appendix C. Campaign Data Tables</w:t>
            </w:r>
            <w:r>
              <w:tab/>
            </w:r>
            <w:r>
              <w:fldChar w:fldCharType="begin"/>
            </w:r>
            <w:r>
              <w:instrText xml:space="preserve"> PAGEREF _Toc100045 \h </w:instrText>
            </w:r>
            <w:r>
              <w:fldChar w:fldCharType="separate"/>
            </w:r>
            <w:r>
              <w:t>41</w:t>
            </w:r>
            <w:r>
              <w:fldChar w:fldCharType="end"/>
            </w:r>
          </w:hyperlink>
        </w:p>
        <w:p>
          <w:pPr>
            <w:pStyle w:val="9"/>
            <w:tabs>
              <w:tab w:val="right" w:leader="dot" w:pos="9026"/>
            </w:tabs>
            <w:spacing w:before="120" w:after="60"/>
          </w:pPr>
          <w:hyperlink w:anchor="_Toc100046" w:history="1">
            <w:r>
              <w:rPr>
                <w:rStyle w:val="Hyperlink"/>
              </w:rPr>
              <w:t>Chapter 14. The roadmap in action: executing R1–R7</w:t>
            </w:r>
            <w:r>
              <w:tab/>
            </w:r>
            <w:r>
              <w:fldChar w:fldCharType="begin"/>
            </w:r>
            <w:r>
              <w:instrText xml:space="preserve"> PAGEREF _Toc100046 \h </w:instrText>
            </w:r>
            <w:r>
              <w:fldChar w:fldCharType="separate"/>
            </w:r>
            <w:r>
              <w:t>42</w:t>
            </w:r>
            <w:r>
              <w:fldChar w:fldCharType="end"/>
            </w:r>
          </w:hyperlink>
        </w:p>
        <w:p>
          <w:pPr>
            <w:pStyle w:val="11"/>
            <w:ind w:left="360"/>
            <w:tabs>
              <w:tab w:val="right" w:leader="dot" w:pos="9026"/>
            </w:tabs>
            <w:spacing w:before="120" w:after="60"/>
          </w:pPr>
          <w:hyperlink w:anchor="_Toc100047" w:history="1">
            <w:r>
              <w:rPr>
                <w:rStyle w:val="Hyperlink"/>
              </w:rPr>
              <w:t>14.1. R1 — continuum stress</w:t>
            </w:r>
            <w:r>
              <w:tab/>
            </w:r>
            <w:r>
              <w:fldChar w:fldCharType="begin"/>
            </w:r>
            <w:r>
              <w:instrText xml:space="preserve"> PAGEREF _Toc100047 \h </w:instrText>
            </w:r>
            <w:r>
              <w:fldChar w:fldCharType="separate"/>
            </w:r>
            <w:r>
              <w:t>42</w:t>
            </w:r>
            <w:r>
              <w:fldChar w:fldCharType="end"/>
            </w:r>
          </w:hyperlink>
        </w:p>
        <w:p>
          <w:pPr>
            <w:pStyle w:val="11"/>
            <w:ind w:left="360"/>
            <w:tabs>
              <w:tab w:val="right" w:leader="dot" w:pos="9026"/>
            </w:tabs>
            <w:spacing w:before="120" w:after="60"/>
          </w:pPr>
          <w:hyperlink w:anchor="_Toc100048" w:history="1">
            <w:r>
              <w:rPr>
                <w:rStyle w:val="Hyperlink"/>
              </w:rPr>
              <w:t>14.2. R2 — anisotropic vortices</w:t>
            </w:r>
            <w:r>
              <w:tab/>
            </w:r>
            <w:r>
              <w:fldChar w:fldCharType="begin"/>
            </w:r>
            <w:r>
              <w:instrText xml:space="preserve"> PAGEREF _Toc100048 \h </w:instrText>
            </w:r>
            <w:r>
              <w:fldChar w:fldCharType="separate"/>
            </w:r>
            <w:r>
              <w:t>43</w:t>
            </w:r>
            <w:r>
              <w:fldChar w:fldCharType="end"/>
            </w:r>
          </w:hyperlink>
        </w:p>
        <w:p>
          <w:pPr>
            <w:pStyle w:val="11"/>
            <w:ind w:left="360"/>
            <w:tabs>
              <w:tab w:val="right" w:leader="dot" w:pos="9026"/>
            </w:tabs>
            <w:spacing w:before="120" w:after="60"/>
          </w:pPr>
          <w:hyperlink w:anchor="_Toc100049" w:history="1">
            <w:r>
              <w:rPr>
                <w:rStyle w:val="Hyperlink"/>
              </w:rPr>
              <w:t>14.3. R3 — the thermal lock</w:t>
            </w:r>
            <w:r>
              <w:tab/>
            </w:r>
            <w:r>
              <w:fldChar w:fldCharType="begin"/>
            </w:r>
            <w:r>
              <w:instrText xml:space="preserve"> PAGEREF _Toc100049 \h </w:instrText>
            </w:r>
            <w:r>
              <w:fldChar w:fldCharType="separate"/>
            </w:r>
            <w:r>
              <w:t>44</w:t>
            </w:r>
            <w:r>
              <w:fldChar w:fldCharType="end"/>
            </w:r>
          </w:hyperlink>
        </w:p>
        <w:p>
          <w:pPr>
            <w:pStyle w:val="11"/>
            <w:ind w:left="360"/>
            <w:tabs>
              <w:tab w:val="right" w:leader="dot" w:pos="9026"/>
            </w:tabs>
            <w:spacing w:before="120" w:after="60"/>
          </w:pPr>
          <w:hyperlink w:anchor="_Toc100050" w:history="1">
            <w:r>
              <w:rPr>
                <w:rStyle w:val="Hyperlink"/>
              </w:rPr>
              <w:t>14.4. The detector tail shape</w:t>
            </w:r>
            <w:r>
              <w:tab/>
            </w:r>
            <w:r>
              <w:fldChar w:fldCharType="begin"/>
            </w:r>
            <w:r>
              <w:instrText xml:space="preserve"> PAGEREF _Toc100050 \h </w:instrText>
            </w:r>
            <w:r>
              <w:fldChar w:fldCharType="separate"/>
            </w:r>
            <w:r>
              <w:t>45</w:t>
            </w:r>
            <w:r>
              <w:fldChar w:fldCharType="end"/>
            </w:r>
          </w:hyperlink>
        </w:p>
        <w:p>
          <w:pPr>
            <w:pStyle w:val="11"/>
            <w:ind w:left="360"/>
            <w:tabs>
              <w:tab w:val="right" w:leader="dot" w:pos="9026"/>
            </w:tabs>
            <w:spacing w:before="120" w:after="60"/>
          </w:pPr>
          <w:hyperlink w:anchor="_Toc100051" w:history="1">
            <w:r>
              <w:rPr>
                <w:rStyle w:val="Hyperlink"/>
              </w:rPr>
              <w:t>14.5. R5 — external comparison</w:t>
            </w:r>
            <w:r>
              <w:tab/>
            </w:r>
            <w:r>
              <w:fldChar w:fldCharType="begin"/>
            </w:r>
            <w:r>
              <w:instrText xml:space="preserve"> PAGEREF _Toc100051 \h </w:instrText>
            </w:r>
            <w:r>
              <w:fldChar w:fldCharType="separate"/>
            </w:r>
            <w:r>
              <w:t>46</w:t>
            </w:r>
            <w:r>
              <w:fldChar w:fldCharType="end"/>
            </w:r>
          </w:hyperlink>
        </w:p>
        <w:p>
          <w:pPr>
            <w:pStyle w:val="11"/>
            <w:ind w:left="360"/>
            <w:tabs>
              <w:tab w:val="right" w:leader="dot" w:pos="9026"/>
            </w:tabs>
            <w:spacing w:before="120" w:after="60"/>
          </w:pPr>
          <w:hyperlink w:anchor="_Toc100052" w:history="1">
            <w:r>
              <w:rPr>
                <w:rStyle w:val="Hyperlink"/>
              </w:rPr>
              <w:t>14.6. R6 and R7 — formalization and the cross-tool network</w:t>
            </w:r>
            <w:r>
              <w:tab/>
            </w:r>
            <w:r>
              <w:fldChar w:fldCharType="begin"/>
            </w:r>
            <w:r>
              <w:instrText xml:space="preserve"> PAGEREF _Toc100052 \h </w:instrText>
            </w:r>
            <w:r>
              <w:fldChar w:fldCharType="separate"/>
            </w:r>
            <w:r>
              <w:t>47</w:t>
            </w:r>
            <w:r>
              <w:fldChar w:fldCharType="end"/>
            </w:r>
          </w:hyperlink>
        </w:p>
        <w:p>
          <w:pPr>
            <w:pStyle w:val="11"/>
            <w:ind w:left="360"/>
            <w:tabs>
              <w:tab w:val="right" w:leader="dot" w:pos="9026"/>
            </w:tabs>
            <w:spacing w:before="120" w:after="60"/>
          </w:pPr>
          <w:hyperlink w:anchor="_Toc100053" w:history="1">
            <w:r>
              <w:rPr>
                <w:rStyle w:val="Hyperlink"/>
              </w:rPr>
              <w:t>14.7. New predictions of the edition</w:t>
            </w:r>
            <w:r>
              <w:tab/>
            </w:r>
            <w:r>
              <w:fldChar w:fldCharType="begin"/>
            </w:r>
            <w:r>
              <w:instrText xml:space="preserve"> PAGEREF _Toc100053 \h </w:instrText>
            </w:r>
            <w:r>
              <w:fldChar w:fldCharType="separate"/>
            </w:r>
            <w:r>
              <w:t>47</w:t>
            </w:r>
            <w:r>
              <w:fldChar w:fldCharType="end"/>
            </w:r>
          </w:hyperlink>
        </w:p>
        <w:p>
          <w:pPr>
            <w:pStyle w:val="9"/>
            <w:tabs>
              <w:tab w:val="right" w:leader="dot" w:pos="9026"/>
            </w:tabs>
            <w:spacing w:before="120" w:after="60"/>
          </w:pPr>
          <w:hyperlink w:anchor="_Toc100054" w:history="1">
            <w:r>
              <w:rPr>
                <w:rStyle w:val="Hyperlink"/>
              </w:rPr>
              <w:t>Chapter 15. An Analytic Proof of the Branch Laws</w:t>
            </w:r>
            <w:r>
              <w:tab/>
            </w:r>
            <w:r>
              <w:fldChar w:fldCharType="begin"/>
            </w:r>
            <w:r>
              <w:instrText xml:space="preserve"> PAGEREF _Toc100054 \h </w:instrText>
            </w:r>
            <w:r>
              <w:fldChar w:fldCharType="separate"/>
            </w:r>
            <w:r>
              <w:t>48</w:t>
            </w:r>
            <w:r>
              <w:fldChar w:fldCharType="end"/>
            </w:r>
          </w:hyperlink>
        </w:p>
        <w:p>
          <w:pPr>
            <w:pStyle w:val="11"/>
            <w:ind w:left="360"/>
            <w:tabs>
              <w:tab w:val="right" w:leader="dot" w:pos="9026"/>
            </w:tabs>
            <w:spacing w:before="120" w:after="60"/>
          </w:pPr>
          <w:hyperlink w:anchor="_Toc100055" w:history="1">
            <w:r>
              <w:rPr>
                <w:rStyle w:val="Hyperlink"/>
              </w:rPr>
              <w:t>15.1. Lemma A: rigid rotation for arbitrary circulations</w:t>
            </w:r>
            <w:r>
              <w:tab/>
            </w:r>
            <w:r>
              <w:fldChar w:fldCharType="begin"/>
            </w:r>
            <w:r>
              <w:instrText xml:space="preserve"> PAGEREF _Toc100055 \h </w:instrText>
            </w:r>
            <w:r>
              <w:fldChar w:fldCharType="separate"/>
            </w:r>
            <w:r>
              <w:t>48</w:t>
            </w:r>
            <w:r>
              <w:fldChar w:fldCharType="end"/>
            </w:r>
          </w:hyperlink>
        </w:p>
        <w:p>
          <w:pPr>
            <w:pStyle w:val="11"/>
            <w:ind w:left="360"/>
            <w:tabs>
              <w:tab w:val="right" w:leader="dot" w:pos="9026"/>
            </w:tabs>
            <w:spacing w:before="120" w:after="60"/>
          </w:pPr>
          <w:hyperlink w:anchor="_Toc100056" w:history="1">
            <w:r>
              <w:rPr>
                <w:rStyle w:val="Hyperlink"/>
              </w:rPr>
              <w:t>15.2. Lemma B: the translation branch without a single matrix computation</w:t>
            </w:r>
            <w:r>
              <w:tab/>
            </w:r>
            <w:r>
              <w:fldChar w:fldCharType="begin"/>
            </w:r>
            <w:r>
              <w:instrText xml:space="preserve"> PAGEREF _Toc100056 \h </w:instrText>
            </w:r>
            <w:r>
              <w:fldChar w:fldCharType="separate"/>
            </w:r>
            <w:r>
              <w:t>48</w:t>
            </w:r>
            <w:r>
              <w:fldChar w:fldCharType="end"/>
            </w:r>
          </w:hyperlink>
        </w:p>
        <w:p>
          <w:pPr>
            <w:pStyle w:val="11"/>
            <w:ind w:left="360"/>
            <w:tabs>
              <w:tab w:val="right" w:leader="dot" w:pos="9026"/>
            </w:tabs>
            <w:spacing w:before="120" w:after="60"/>
          </w:pPr>
          <w:hyperlink w:anchor="_Toc100057" w:history="1">
            <w:r>
              <w:rPr>
                <w:rStyle w:val="Hyperlink"/>
              </w:rPr>
              <w:t>15.3. Lemma C: the shape space and the internal branch</w:t>
            </w:r>
            <w:r>
              <w:tab/>
            </w:r>
            <w:r>
              <w:fldChar w:fldCharType="begin"/>
            </w:r>
            <w:r>
              <w:instrText xml:space="preserve"> PAGEREF _Toc100057 \h </w:instrText>
            </w:r>
            <w:r>
              <w:fldChar w:fldCharType="separate"/>
            </w:r>
            <w:r>
              <w:t>49</w:t>
            </w:r>
            <w:r>
              <w:fldChar w:fldCharType="end"/>
            </w:r>
          </w:hyperlink>
        </w:p>
        <w:p>
          <w:pPr>
            <w:pStyle w:val="11"/>
            <w:ind w:left="360"/>
            <w:tabs>
              <w:tab w:val="right" w:leader="dot" w:pos="9026"/>
            </w:tabs>
            <w:spacing w:before="120" w:after="60"/>
          </w:pPr>
          <w:hyperlink w:anchor="_Toc100058" w:history="1">
            <w:r>
              <w:rPr>
                <w:rStyle w:val="Hyperlink"/>
              </w:rPr>
              <w:t>15.4. Corollaries: splitting, circulation dispersion, Synge</w:t>
            </w:r>
            <w:r>
              <w:tab/>
            </w:r>
            <w:r>
              <w:fldChar w:fldCharType="begin"/>
            </w:r>
            <w:r>
              <w:instrText xml:space="preserve"> PAGEREF _Toc100058 \h </w:instrText>
            </w:r>
            <w:r>
              <w:fldChar w:fldCharType="separate"/>
            </w:r>
            <w:r>
              <w:t>49</w:t>
            </w:r>
            <w:r>
              <w:fldChar w:fldCharType="end"/>
            </w:r>
          </w:hyperlink>
        </w:p>
        <w:p>
          <w:pPr>
            <w:pStyle w:val="9"/>
            <w:tabs>
              <w:tab w:val="right" w:leader="dot" w:pos="9026"/>
            </w:tabs>
            <w:spacing w:before="120" w:after="60"/>
          </w:pPr>
          <w:hyperlink w:anchor="_Toc100059" w:history="1">
            <w:r>
              <w:rPr>
                <w:rStyle w:val="Hyperlink"/>
              </w:rPr>
              <w:t>Chapter 16. Cosmology of the Cold Sector: a Scenario below T_death</w:t>
            </w:r>
            <w:r>
              <w:tab/>
            </w:r>
            <w:r>
              <w:fldChar w:fldCharType="begin"/>
            </w:r>
            <w:r>
              <w:instrText xml:space="preserve"> PAGEREF _Toc100059 \h </w:instrText>
            </w:r>
            <w:r>
              <w:fldChar w:fldCharType="separate"/>
            </w:r>
            <w:r>
              <w:t>50</w:t>
            </w:r>
            <w:r>
              <w:fldChar w:fldCharType="end"/>
            </w:r>
          </w:hyperlink>
        </w:p>
        <w:p>
          <w:pPr>
            <w:pStyle w:val="11"/>
            <w:ind w:left="360"/>
            <w:tabs>
              <w:tab w:val="right" w:leader="dot" w:pos="9026"/>
            </w:tabs>
            <w:spacing w:before="120" w:after="60"/>
          </w:pPr>
          <w:hyperlink w:anchor="_Toc100060" w:history="1">
            <w:r>
              <w:rPr>
                <w:rStyle w:val="Hyperlink"/>
              </w:rPr>
              <w:t>16.1. The cooling deadline</w:t>
            </w:r>
            <w:r>
              <w:tab/>
            </w:r>
            <w:r>
              <w:fldChar w:fldCharType="begin"/>
            </w:r>
            <w:r>
              <w:instrText xml:space="preserve"> PAGEREF _Toc100060 \h </w:instrText>
            </w:r>
            <w:r>
              <w:fldChar w:fldCharType="separate"/>
            </w:r>
            <w:r>
              <w:t>50</w:t>
            </w:r>
            <w:r>
              <w:fldChar w:fldCharType="end"/>
            </w:r>
          </w:hyperlink>
        </w:p>
        <w:p>
          <w:pPr>
            <w:pStyle w:val="11"/>
            <w:ind w:left="360"/>
            <w:tabs>
              <w:tab w:val="right" w:leader="dot" w:pos="9026"/>
            </w:tabs>
            <w:spacing w:before="120" w:after="60"/>
          </w:pPr>
          <w:hyperlink w:anchor="_Toc100061" w:history="1">
            <w:r>
              <w:rPr>
                <w:rStyle w:val="Hyperlink"/>
              </w:rPr>
              <w:t>16.2. The survival integral and hot dominance</w:t>
            </w:r>
            <w:r>
              <w:tab/>
            </w:r>
            <w:r>
              <w:fldChar w:fldCharType="begin"/>
            </w:r>
            <w:r>
              <w:instrText xml:space="preserve"> PAGEREF _Toc100061 \h </w:instrText>
            </w:r>
            <w:r>
              <w:fldChar w:fldCharType="separate"/>
            </w:r>
            <w:r>
              <w:t>51</w:t>
            </w:r>
            <w:r>
              <w:fldChar w:fldCharType="end"/>
            </w:r>
          </w:hyperlink>
        </w:p>
        <w:p>
          <w:pPr>
            <w:pStyle w:val="11"/>
            <w:ind w:left="360"/>
            <w:tabs>
              <w:tab w:val="right" w:leader="dot" w:pos="9026"/>
            </w:tabs>
            <w:spacing w:before="120" w:after="60"/>
          </w:pPr>
          <w:hyperlink w:anchor="_Toc100062" w:history="1">
            <w:r>
              <w:rPr>
                <w:rStyle w:val="Hyperlink"/>
              </w:rPr>
              <w:t>16.3. The dynamic deadline and the stall cliff</w:t>
            </w:r>
            <w:r>
              <w:tab/>
            </w:r>
            <w:r>
              <w:fldChar w:fldCharType="begin"/>
            </w:r>
            <w:r>
              <w:instrText xml:space="preserve"> PAGEREF _Toc100062 \h </w:instrText>
            </w:r>
            <w:r>
              <w:fldChar w:fldCharType="separate"/>
            </w:r>
            <w:r>
              <w:t>51</w:t>
            </w:r>
            <w:r>
              <w:fldChar w:fldCharType="end"/>
            </w:r>
          </w:hyperlink>
        </w:p>
        <w:p>
          <w:pPr>
            <w:pStyle w:val="11"/>
            <w:ind w:left="360"/>
            <w:tabs>
              <w:tab w:val="right" w:leader="dot" w:pos="9026"/>
            </w:tabs>
            <w:spacing w:before="120" w:after="60"/>
          </w:pPr>
          <w:hyperlink w:anchor="_Toc100063" w:history="1">
            <w:r>
              <w:rPr>
                <w:rStyle w:val="Hyperlink"/>
              </w:rPr>
              <w:t>16.4. Verification and the status of the scenario</w:t>
            </w:r>
            <w:r>
              <w:tab/>
            </w:r>
            <w:r>
              <w:fldChar w:fldCharType="begin"/>
            </w:r>
            <w:r>
              <w:instrText xml:space="preserve"> PAGEREF _Toc100063 \h </w:instrText>
            </w:r>
            <w:r>
              <w:fldChar w:fldCharType="separate"/>
            </w:r>
            <w:r>
              <w:t>52</w:t>
            </w:r>
            <w:r>
              <w:fldChar w:fldCharType="end"/>
            </w:r>
          </w:hyperlink>
        </w:p>
        <w:p>
          <w:pPr>
            <w:pStyle w:val="9"/>
            <w:tabs>
              <w:tab w:val="right" w:leader="dot" w:pos="9026"/>
            </w:tabs>
            <w:spacing w:before="120" w:after="60"/>
          </w:pPr>
          <w:hyperlink w:anchor="_Toc100064" w:history="1">
            <w:r>
              <w:rPr>
                <w:rStyle w:val="Hyperlink"/>
              </w:rPr>
              <w:t>Chapter 17. Five Convergence Ladders to Infinity</w:t>
            </w:r>
            <w:r>
              <w:tab/>
            </w:r>
            <w:r>
              <w:fldChar w:fldCharType="begin"/>
            </w:r>
            <w:r>
              <w:instrText xml:space="preserve"> PAGEREF _Toc100064 \h </w:instrText>
            </w:r>
            <w:r>
              <w:fldChar w:fldCharType="separate"/>
            </w:r>
            <w:r>
              <w:t>52</w:t>
            </w:r>
            <w:r>
              <w:fldChar w:fldCharType="end"/>
            </w:r>
          </w:hyperlink>
        </w:p>
        <w:p>
          <w:pPr>
            <w:pStyle w:val="11"/>
            <w:ind w:left="360"/>
            <w:tabs>
              <w:tab w:val="right" w:leader="dot" w:pos="9026"/>
            </w:tabs>
            <w:spacing w:before="120" w:after="60"/>
          </w:pPr>
          <w:hyperlink w:anchor="_Toc100065" w:history="1">
            <w:r>
              <w:rPr>
                <w:rStyle w:val="Hyperlink"/>
              </w:rPr>
              <w:t>17.1. The time and step ladders: two dimensions of one convergence</w:t>
            </w:r>
            <w:r>
              <w:tab/>
            </w:r>
            <w:r>
              <w:fldChar w:fldCharType="begin"/>
            </w:r>
            <w:r>
              <w:instrText xml:space="preserve"> PAGEREF _Toc100065 \h </w:instrText>
            </w:r>
            <w:r>
              <w:fldChar w:fldCharType="separate"/>
            </w:r>
            <w:r>
              <w:t>53</w:t>
            </w:r>
            <w:r>
              <w:fldChar w:fldCharType="end"/>
            </w:r>
          </w:hyperlink>
        </w:p>
        <w:p>
          <w:pPr>
            <w:pStyle w:val="11"/>
            <w:ind w:left="360"/>
            <w:tabs>
              <w:tab w:val="right" w:leader="dot" w:pos="9026"/>
            </w:tabs>
            <w:spacing w:before="120" w:after="60"/>
          </w:pPr>
          <w:hyperlink w:anchor="_Toc100066" w:history="1">
            <w:r>
              <w:rPr>
                <w:rStyle w:val="Hyperlink"/>
              </w:rPr>
              <w:t>17.2. The volume ladder: the continuum is already in the first three rungs</w:t>
            </w:r>
            <w:r>
              <w:tab/>
            </w:r>
            <w:r>
              <w:fldChar w:fldCharType="begin"/>
            </w:r>
            <w:r>
              <w:instrText xml:space="preserve"> PAGEREF _Toc100066 \h </w:instrText>
            </w:r>
            <w:r>
              <w:fldChar w:fldCharType="separate"/>
            </w:r>
            <w:r>
              <w:t>53</w:t>
            </w:r>
            <w:r>
              <w:fldChar w:fldCharType="end"/>
            </w:r>
          </w:hyperlink>
        </w:p>
        <w:p>
          <w:pPr>
            <w:pStyle w:val="11"/>
            <w:ind w:left="360"/>
            <w:tabs>
              <w:tab w:val="right" w:leader="dot" w:pos="9026"/>
            </w:tabs>
            <w:spacing w:before="120" w:after="60"/>
          </w:pPr>
          <w:hyperlink w:anchor="_Toc100067" w:history="1">
            <w:r>
              <w:rPr>
                <w:rStyle w:val="Hyperlink"/>
              </w:rPr>
              <w:t>17.3. The budget and sample ladders: limits that never arrive</w:t>
            </w:r>
            <w:r>
              <w:tab/>
            </w:r>
            <w:r>
              <w:fldChar w:fldCharType="begin"/>
            </w:r>
            <w:r>
              <w:instrText xml:space="preserve"> PAGEREF _Toc100067 \h </w:instrText>
            </w:r>
            <w:r>
              <w:fldChar w:fldCharType="separate"/>
            </w:r>
            <w:r>
              <w:t>53</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Note: this Table of Contents is generated via field codes. After editing, right-click the TOC and select "Update Field" to refresh page numbers.</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pBdr>
          <w:bottom w:val="single" w:color="C9A84C" w:sz="6" w:space="4"/>
        </w:pBdr>
        <w:spacing w:after="160" w:before="400" w:line="400" w:lineRule="atLeast"/>
        <w:jc w:val="left"/>
      </w:pPr>
      <w:bookmarkStart w:id="100001" w:name="_Toc100001"/>
      <w:r>
        <w:rPr>
          <w:rFonts w:ascii="Times New Roman" w:eastAsia="Times New Roman" w:hAnsi="Times New Roman"/>
          <w:b/>
          <w:bCs/>
          <w:color w:val="1A1A1A"/>
          <w:sz w:val="32"/>
          <w:szCs w:val="32"/>
        </w:rPr>
        <w:t xml:space="preserve">Chapter 1. Introduction: the Quark–Hawking Bridge Program</w:t>
      </w:r>
      <w:bookmarkEnd w:id="100001"/>
    </w:p>
    <w:p>
      <w:pPr>
        <w:spacing w:after="80" w:line="360"/>
        <w:ind w:firstLine="709"/>
        <w:jc w:val="both"/>
      </w:pPr>
      <text>Quarks are never observed in isolation — only inside hadrons. This phenomenon, confinement, is solidly confirmed by lattice quantum chromodynamics: numerical QCD simulations reproduce the hadron spectrum, the confining-string tension and the deconfinement temperature. And yet no rigorous analytic proof of confinement exists: the statement about the mass gap in pure gauge theory is one of the Clay Mathematics Institute Millennium Problems, known as the Yang–Mills mass gap. The gap between computational evidence and analytic understanding remains one of the central open problems of theoretical physics.</text>
    </w:p>
    <w:p>
      <w:pPr>
        <w:spacing w:after="80" w:line="360"/>
        <w:ind w:firstLine="709"/>
        <w:jc w:val="both"/>
      </w:pPr>
      <text>This monograph presents the Quark–Hawking Bridge (QHB) research program — a deterministic package of twelve campaigns, fifteen theorems and thirty machine-validated claims that approaches the problem from an unusual direction: through the thermodynamics of black holes. The program inherits three instruments from its parent package Collapse–Hawking Bridge (CHB v2.1.0) — critical collapse, Hawking thermodynamics, and the honesty discipline — and unfolds a hypothesis about the origin of confinement into four links. Every link has its own computational layer, every theorem has machine verification, and every number has an address in a JSON table from which it is recomputed byte-for-byte.</text>
    </w:p>
    <w:p>
      <w:pPr>
        <w:pStyle w:val="Heading2"/>
        <w:spacing w:after="120" w:before="300" w:line="380" w:lineRule="atLeast"/>
      </w:pPr>
      <w:bookmarkStart w:id="100002" w:name="_Toc100002"/>
      <w:r>
        <w:rPr>
          <w:rFonts w:ascii="Times New Roman" w:eastAsia="Times New Roman" w:hAnsi="Times New Roman"/>
          <w:b/>
          <w:bCs/>
          <w:color w:val="1A1A1A"/>
          <w:sz w:val="28"/>
          <w:szCs w:val="28"/>
        </w:rPr>
        <w:t xml:space="preserve">1.1. The four links of the hypothesis</w:t>
      </w:r>
      <w:bookmarkEnd w:id="100002"/>
    </w:p>
    <w:p>
      <w:pPr>
        <w:spacing w:after="80" w:line="360"/>
        <w:ind w:firstLine="709"/>
        <w:jc w:val="both"/>
      </w:pPr>
      <text>Link one — the furnace (H1).</text>
      <text> Quark triplets are forged at maximal density — in the critical-collapse regime of the parent package, where the born mass tends to zero and the mean density at the horizon tends to the Planck value. This link is inherited from CHB and is not re-examined here: it provides the furnace that cooks triplets under extreme conditions where classical gravity and quantum field theory meet on equal footing. The monograph accepts it as a premise and concentrates on the three links that follow.</text>
    </w:p>
    <w:p>
      <w:pPr>
        <w:spacing w:after="80" w:line="360"/>
        <w:ind w:firstLine="709"/>
        <w:jc w:val="both"/>
      </w:pPr>
      <text>Link two — the gap (H2).</text>
      <text> Three dynamic corrections of the septinial family — the Berry quanta π</text>
      <text>2</text>
      <text>/8, π</text>
      <text>2</text>
      <text>/18, π</text>
      <text>2</text>
      <text>/98 and the braking quanta π</text>
      <text>5</text>
      <text>/704, π</text>
      <text>5</text>
      <text>/5346, π</text>
      <text>5</text>
      <text>/369754 of the π/2, π/3, π/7 sectors — vibrate, shift the discretized geometry and open a real spectral gap Δ</text>
      <text>F</text>
      <text>, the mass gap of the toy model. This is the load-bearing link of the whole construction: without a positive gap there is no confinement story. Campaigns C1, C9 and C10 sweep the parameter plane and establish that the gap never closes, its minimum Δ</text>
      <text>F</text>
      <text>,min = 0.181777 is reached in the “valley” at β* = 3.3583, and the causal contribution of the three sectors is decomposed by factorial ablation into shares of 91.95 / 8.00 / 0.049 %.</text>
    </w:p>
    <w:p>
      <w:pPr>
        <w:spacing w:after="80" w:line="360"/>
        <w:ind w:firstLine="709"/>
        <w:jc w:val="both"/>
      </w:pPr>
      <text>Link three — the door (H3).</text>
      <text> Hawking pairs leave the horizon; the weak channel violates parity (the Wu experiment, 1957), and the residual matter imbalance survives annihilation. The Wu door is the mechanism that turns horizon thermal dynamics into a cosmological matter–antimatter asymmetry. In the package it is realized by the W-model with a closed-form r(α, x) verified against Monte Carlo on 30 cells × 200,000 realizations with a maximum deviation of 2.5×10</text>
      <text>-3</text>
      <text>.</text>
    </w:p>
    <w:p>
      <w:pPr>
        <w:spacing w:after="80" w:line="360"/>
        <w:ind w:firstLine="709"/>
        <w:jc w:val="both"/>
      </w:pPr>
      <text>Link four — the trap (H4).</text>
      <text> A triplet bound at maximal density cannot shed its member: the unsolved three-body problem distributes energy chaotically, and the gap erects an oscillating geometric wall — bound chaos. Campaign C5 measures the honest negative: the free trio escapes with probability P</text>
      <text>esc</text>
      <text> = 0.2433 — without the bridge connection there is no confinement. Campaigns C7 and C11 show how the wall and the vortex anchor seal the system, and campaign C12 adds the final lock: the cosmic matter asymmetry is far too small to ever bring down the gap-closure barrier.</text>
    </w:p>
    <w:p>
      <w:pPr>
        <w:pStyle w:val="Heading2"/>
        <w:spacing w:after="120" w:before="300" w:line="380" w:lineRule="atLeast"/>
      </w:pPr>
      <w:bookmarkStart w:id="100003" w:name="_Toc100003"/>
      <w:r>
        <w:rPr>
          <w:rFonts w:ascii="Times New Roman" w:eastAsia="Times New Roman" w:hAnsi="Times New Roman"/>
          <w:b/>
          <w:bCs/>
          <w:color w:val="1A1A1A"/>
          <w:sz w:val="28"/>
          <w:szCs w:val="28"/>
        </w:rPr>
        <w:t xml:space="preserve">1.2. Hypothesis status and the honesty discipline</w:t>
      </w:r>
      <w:bookmarkEnd w:id="100003"/>
    </w:p>
    <w:p>
      <w:pPr>
        <w:pBdr>
          <w:left w:val="single" w:color="C9A84C" w:sz="12" w:space="12"/>
        </w:pBdr>
        <w:shd w:fill="F5F2E8" w:val="clear"/>
        <w:spacing w:after="160" w:before="120" w:line="340"/>
        <w:ind w:left="567" w:right="400"/>
        <w:jc w:val="both"/>
      </w:pPr>
      <text>The confinement mechanism in this package is a labeled hypothesis. Every theorem T1–T15 is a machine-verified fact about committed toy models, not a deduction of QCD. The package separates the proven, the measured, the compared and the hypothesized — and never mixes these words.</text>
    </w:p>
    <w:p>
      <w:pPr>
        <w:spacing w:after="80" w:line="360"/>
        <w:ind w:firstLine="709"/>
        <w:jc w:val="both"/>
      </w:pPr>
      <text>The honesty discipline is not a rhetorical caveat but a machine layer. Twenty-nine of the thirty Evidence Engine claims carry the statuses exact (proven in the model), measured-law (a measured law with a five-field uncertainty budget), honest-negative, and comparison; the single hypothesis-status claim — the existence of the continuum gap — is labeled, isolated and never used in conclusions. Every claim carries a one-line falsifier: a concrete observation that would refute it. Six honest negatives are printed in the registry headline — from “the continuum gap is not claimed” to “free quarks do not accumulate”. This asymmetry — knowledge about the limits of knowledge — is what distinguishes a reproducible computation from a fit.</text>
    </w:p>
    <w:p>
      <w:pPr>
        <w:spacing w:after="80" w:line="360"/>
        <w:ind w:firstLine="709"/>
        <w:jc w:val="both"/>
      </w:pPr>
      <text>The package is byte-for-byte reproducible: fixed seeds are pinned in the pins module, all stochastic processes are seeded with the constant 20261010, and the gap layer uses no random generator at all. The command make all runs the path “campaigns → JSON tables → figures → audit → twin-check → pytest → determinism” and ends with a byte-identical rebuild. Binary twins in JavaScript, C and C++ print identical reference blocks — fourteen checks per language, three sweeps.</text>
    </w:p>
    <w:p>
      <w:pPr>
        <w:pStyle w:val="Heading2"/>
        <w:spacing w:after="120" w:before="300" w:line="380" w:lineRule="atLeast"/>
      </w:pPr>
      <w:bookmarkStart w:id="100004" w:name="_Toc100004"/>
      <w:r>
        <w:rPr>
          <w:rFonts w:ascii="Times New Roman" w:eastAsia="Times New Roman" w:hAnsi="Times New Roman"/>
          <w:b/>
          <w:bCs/>
          <w:color w:val="1A1A1A"/>
          <w:sz w:val="28"/>
          <w:szCs w:val="28"/>
        </w:rPr>
        <w:t xml:space="preserve">1.3. Structure of the monograph</w:t>
      </w:r>
      <w:bookmarkEnd w:id="100004"/>
    </w:p>
    <w:p>
      <w:pPr>
        <w:spacing w:after="80" w:line="360"/>
        <w:ind w:firstLine="709"/>
        <w:jc w:val="both"/>
      </w:pPr>
      <text>Chapter 2 describes the model class and the normalizations N1–N8 that turn a “toy” into a committed computational object. Chapter 3 collects the fifteen theorems with statements, statuses and verification methods. Chapters 4–7 — the core of the monograph — walk through the twelve campaigns by sector: gap and thermality (C1–C4), three-body dynamics (C5–C8), the phase map and competing models (C9–C10), the vortex anchor and the asymmetry lock (C11–C12). Chapter 8 presents the Evidence Engine, the registry of thirty claims; chapter 9, the twelve-pass audit IVP-12 and reproducibility. Chapter 10 systematizes the honest negatives. Chapter 11 presents the new research performed specifically for this edition: a cross-version audit of the two package builds, an independent 100-digit re-verification of the exact constants, and six new sensitive tests beyond the package. Chapter 12 condenses all key numbers into a single portable table, and chapter 13 lays out the roadmap. Chapter 14 — new in edition v2.1.0 — executes the roadmap: five numerical candidates R1–R5 with new predictions, an extended Lean formalization, and the cross-tool network. Three appendices contain the Lean 4 formalization, the multilingual verification twins, and the campaign data tables.</text>
    </w:p>
    <w:p>
      <w:pPr>
        <w:pStyle w:val="Heading1"/>
        <w:pBdr>
          <w:bottom w:val="single" w:color="C9A84C" w:sz="6" w:space="4"/>
        </w:pBdr>
        <w:spacing w:after="160" w:before="400" w:line="400" w:lineRule="atLeast"/>
        <w:jc w:val="left"/>
      </w:pPr>
      <w:bookmarkStart w:id="100005" w:name="_Toc100005"/>
      <w:r>
        <w:rPr>
          <w:rFonts w:ascii="Times New Roman" w:eastAsia="Times New Roman" w:hAnsi="Times New Roman"/>
          <w:b/>
          <w:bCs/>
          <w:color w:val="1A1A1A"/>
          <w:sz w:val="32"/>
          <w:szCs w:val="32"/>
        </w:rPr>
        <w:t xml:space="preserve">Chapter 2. Model Class and Normalizations N1–N8</w:t>
      </w:r>
      <w:bookmarkEnd w:id="100005"/>
    </w:p>
    <w:p>
      <w:pPr>
        <w:spacing w:after="80" w:line="360"/>
        <w:ind w:firstLine="709"/>
        <w:jc w:val="both"/>
      </w:pPr>
      <text>Every toy model rests not on formulas but on normalizations: until normalization conditions are pinned, a “toy” admits hidden tuning. The QHB model class is dimensionally reduced and fully documented by eight normalization conditions N1–N8 in the constants module; every key number is pinned by a test. This chapter fixes that frame, since all subsequent results are meaningful only relative to it.</text>
    </w:p>
    <w:p>
      <w:pPr>
        <w:pStyle w:val="Heading2"/>
        <w:spacing w:after="120" w:before="300" w:line="380" w:lineRule="atLeast"/>
      </w:pPr>
      <w:bookmarkStart w:id="100006" w:name="_Toc100006"/>
      <w:r>
        <w:rPr>
          <w:rFonts w:ascii="Times New Roman" w:eastAsia="Times New Roman" w:hAnsi="Times New Roman"/>
          <w:b/>
          <w:bCs/>
          <w:color w:val="1A1A1A"/>
          <w:sz w:val="28"/>
          <w:szCs w:val="28"/>
        </w:rPr>
        <w:t xml:space="preserve">2.1. The G-model: chain + two-band Floquet</w:t>
      </w:r>
      <w:bookmarkEnd w:id="100006"/>
    </w:p>
    <w:p>
      <w:pPr>
        <w:spacing w:after="80" w:line="360"/>
        <w:ind w:firstLine="709"/>
        <w:jc w:val="both"/>
      </w:pPr>
      <text>The static layer of the G-model is a Dirichlet chain of N = 64 sites with spacing h = L/(N+1), a parabolic potential q</text>
      <text>n</text>
      <text> = (κ/2)x</text>
      <text>n</text>
      <text>2</text>
      <text> − q</text>
      <text>pk</text>
      <text> and a consistent hopping J = 1/h</text>
      <text>2</text>
      <text> that protects the spectrum from the band-edge artifact of order h. The committed geometry is κ = 0.05, q</text>
      <text>pk</text>
      <text> = 0.4. A two-level reduction gives the static gap Δ</text>
      <text>0</text>
      <text> = E</text>
      <text>1</text>
      <text> − E</text>
      <text>0</text>
      <text>; at the committed geometry Δ</text>
      <text>0</text>
      <text> = 0.523004556028 (N = 64). The response of the gap to the well depth s = dΔ/dq</text>
      <text>pk</text>
      <text> = −1.00398294 carries a real sign into every derived law: as the well deepens it widens, and the gap falls.</text>
    </w:p>
    <w:p>
      <w:pPr>
        <w:spacing w:after="80" w:line="360"/>
        <w:ind w:firstLine="709"/>
        <w:jc w:val="both"/>
      </w:pPr>
      <text>The dynamic layer is a periodically driven qubit with Hamiltonian H(t) = (Δ</text>
      <text>0</text>
      <text>/2)σ</text>
      <text>z</text>
      <text> + v(t)σ</text>
      <text>x</text>
      <text> + w(t)σ</text>
      <text>z</text>
      <text>, where the transverse drive v(t) = Σ b</text>
      <text>k</text>
      <text> cos(ω</text>
      <text>k</text>
      <text>t + φ</text>
      <text>k</text>
      <text>) carries three Berry quanta and the longitudinal w(t) = Σ a</text>
      <text>k</text>
      <text> cos(ω</text>
      <text>k</text>
      <text>t + ψ</text>
      <text>k</text>
      <text>) carries three braking quanta. The frequencies are ω = (2, 3, 7)·Ω</text>
      <text>0</text>
      <text> with Ω</text>
      <text>0</text>
      <text> = 2, and the septinial phases are φ = ψ = (π/2, π/3, π/7). The “rigid trio” is scanned with a single amplitude β: b</text>
      <text>k</text>
      <text> = β·B</text>
      <text>k</text>
      <text>, a</text>
      <text>k</text>
      <text> = β·A</text>
      <text>k</text>
      <text>. The Floquet operator U(T</text>
      <text>0</text>
      <text>) is assembled from M = 1920 piecewise-constant exact 2×2 exponentials; unitarity holds at 5.6×10</text>
      <text>-20</text>
      <text>, and second-order M-convergence gives a gap error of ≈ 7×10</text>
      <text>-9</text>
      <text>.</text>
    </w:p>
    <w:p>
      <w:pPr>
        <w:spacing w:after="80" w:line="360"/>
        <w:ind w:firstLine="709"/>
        <w:jc w:val="both"/>
      </w:pPr>
      <text>The septinial family — six numbers inherited from CHB — comprises the Berry quanta π</text>
      <text>2</text>
      <text>/8 = 1.2337005501361698…, π</text>
      <text>2</text>
      <text>/18 = 0.5483114018529179…, π</text>
      <text>2</text>
      <text>/98 = 0.1007102489911520… and the braking quanta π</text>
      <text>5</text>
      <text>/704 = 0.4346870522518202…, π</text>
      <text>5</text>
      <text>/5346 = 0.0572622434428334…, π</text>
      <text>5</text>
      <text>/369754 = 0.0008276304915839…. All six were recomputed by mpmath at fifty and then at one hundred digits; the maximum relative deviation of the float values from the reference is 7.8×10</text>
      <text>-17</text>
      <text>. The name “septinial” reflects the triple {2, 3, 7} in the frequencies and the phases π/2, π/3, π/7 — the only irrationalities the package allows itself.</text>
    </w:p>
    <w:p>
      <w:pPr>
        <w:pStyle w:val="Heading2"/>
        <w:spacing w:after="120" w:before="300" w:line="380" w:lineRule="atLeast"/>
      </w:pPr>
      <w:bookmarkStart w:id="100007" w:name="_Toc100007"/>
      <w:r>
        <w:rPr>
          <w:rFonts w:ascii="Times New Roman" w:eastAsia="Times New Roman" w:hAnsi="Times New Roman"/>
          <w:b/>
          <w:bCs/>
          <w:color w:val="1A1A1A"/>
          <w:sz w:val="28"/>
          <w:szCs w:val="28"/>
        </w:rPr>
        <w:t xml:space="preserve">2.2. Normalizations N1–N8</w:t>
      </w:r>
      <w:bookmarkEnd w:id="100007"/>
    </w:p>
    <w:p>
      <w:pPr>
        <w:keepNext/>
        <w:spacing w:after="80" w:before="200"/>
        <w:jc w:val="center"/>
      </w:pPr>
      <text>Table 2.1. The eight normalization conditions of the package (N1–N8)</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N</text>
          </w:p>
        </w:tc>
        <w:tc>
          <w:tcPr>
            <w:tcW w:type="pct" w:w="33%"/>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Condition</text>
          </w:p>
        </w:tc>
        <w:tc>
          <w:tcPr>
            <w:tcW w:type="pct" w:w="6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Formula / value</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N1</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Vortex units</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Γ = a = 1 ⇒ ω = 3/(2π) = 0.4774648292756860…</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N2</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Gap units (valley)</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β* = 3.3583; Δ_F,min = 0.181777; curvature 0.35: Δ_F(β) = Δ_F,min + 0.35·(β − β*)</text>
            <text>2</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N3</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Naive window falsifier</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β_c = 2.9910; Δ_thresh = Δ_F(β_c)/6.3 = 0.03634845261904761</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N4</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cutoff</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E_max = 2.5 (tail beyond it unresolved — T5)</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N5</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Confinement box</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L_box = 12 (escape radius of the three-body layer)</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N6</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Cosmological comparison</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η_B = 6.1×10</text>
            <text>-10</text>
            <text> (Planck 2018)</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N7</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Static anchor barrier</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 = 0.9359375 (T13)</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N8</text>
          </w:p>
        </w:tc>
        <w:tc>
          <w:tcPr>
            <w:tcW w:type="pct" w:w="3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Seeds</text>
          </w:p>
        </w:tc>
        <w:tc>
          <w:tcPr>
            <w:tcW w:type="pct" w:w="6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SEED_MAIN = 20250918; SEED_MC = 777001; SEED_BOOT = 515003; SEED_C11 = 902107; C5_SEED = 777040; C12_FILL_SEED = 424243</text>
          </w:p>
        </w:tc>
      </w:tr>
    </w:tbl>
    <w:p>
      <w:pPr>
        <w:spacing w:after="160"/>
      </w:pPr>
    </w:p>
    <w:p>
      <w:pPr>
        <w:spacing w:after="80" w:line="360"/>
        <w:ind w:firstLine="709"/>
        <w:jc w:val="both"/>
      </w:pPr>
      <text>Each row of Table 2.1 is not an arbitrary choice but a measured or inherited value pinned by a test. Normalization N2 deserves a special comment: the valley parabola with curvature 0.35 is the machine-refined shape of the minimum (campaign C9 refines the bottom by parabolic refinement with a deviation of 2×10</text>
      <text>-4</text>
      <text> against an allowance of 0.05), and the entire economy of the C12 lock depends on it. Normalization N3 covariantly fixes the detector threshold through the falsified point: the threshold equals the measured fraction of the gap at β_c — 1/6.3. Finally, N8 turns reproducibility into law: six seed constants cover all stochastic processes of the package, including the C8 bootstrap (515003) and the C12 filling dynamics (424243).</text>
    </w:p>
    <w:p>
      <w:pPr>
        <w:pStyle w:val="Heading2"/>
        <w:spacing w:after="120" w:before="300" w:line="380" w:lineRule="atLeast"/>
      </w:pPr>
      <w:bookmarkStart w:id="100008" w:name="_Toc100008"/>
      <w:r>
        <w:rPr>
          <w:rFonts w:ascii="Times New Roman" w:eastAsia="Times New Roman" w:hAnsi="Times New Roman"/>
          <w:b/>
          <w:bCs/>
          <w:color w:val="1A1A1A"/>
          <w:sz w:val="28"/>
          <w:szCs w:val="28"/>
        </w:rPr>
        <w:t xml:space="preserve">2.3. The laws the model class sustains</w:t>
      </w:r>
      <w:bookmarkEnd w:id="100008"/>
    </w:p>
    <w:p>
      <w:pPr>
        <w:spacing w:after="80" w:line="360"/>
        <w:ind w:firstLine="709"/>
        <w:jc w:val="both"/>
      </w:pPr>
      <text>The gap law (window β ∈ [0, 0.2]): Δ</text>
      <text>F</text>
      <text> = Δ</text>
      <text>0</text>
      <text> + B</text>
      <text>2</text>
      <text>β</text>
      <text>2</text>
      <text> with B</text>
      <text>2</text>
      <text> = −5.49670294×10</text>
      <text>-2</text>
      <text> and coefficient of determination r</text>
      <text>2</text>
      <text> = 0.99999982. The sector hierarchy of contributions |B</text>
      <text>2</text>
      <text>A</text>
      <text>| : |B</text>
      <text>2</text>
      <text>B</text>
      <text>| : |B</text>
      <text>2</text>
      <text>C</text>
      <text>| = −5.05×10</text>
      <text>-2</text>
      <text> : −4.40×10</text>
      <text>-3</text>
      <text> : −2.71×10</text>
      <text>-5</text>
      <text> (roughly 1865 : 162 : 1) — sector A (π/2) dominates, sector C (π/7) is structurally present but causally a spectator. The string tension: σ(β) = 0.25·(Δ</text>
      <text>F</text>
      <text>(β)/Δ</text>
      <text>F</text>
      <text>,min)^{3/2} — the Wilson law W = exp(−σRT) is exact in the class with a maximum deviation of 5.6×10</text>
      <text>-17</text>
      <text>. The bridge temperature carries spin corrections: T</text>
      <text>c</text>
      <text> = √σ/2π·(1 + (π</text>
      <text>2</text>
      <text>/8)β</text>
      <text>-2</text>
      <text> + (π</text>
      <text>5</text>
      <text>/704)β</text>
      <text>-4</text>
      <text>); the total correction at β* is +11.280569950484875 % — a number our independent re-verification reproduced at one hundred digits (chapter 11).</text>
    </w:p>
    <w:p>
      <w:pPr>
        <w:spacing w:after="80" w:line="360"/>
        <w:ind w:firstLine="709"/>
        <w:jc w:val="both"/>
      </w:pPr>
      <text>The WKB action of the linear barrier U(r) = σr on [0, 12] at effective mass 1/2: S(E) = (2/(3σ))·(σL − E)^{3/2}; at zero energy S(0) = 13.856406460551018… and T(0) = e^{−2S(0)} = 9.2146×10</text>
      <text>-13</text>
      <text> — the window is closed and opens only at E &lt; 0.0059. The vortex anchor lives in the units of N1: the rigid-rotation frequency of the equilateral trio is ω = Γ</text>
      <text>tot</text>
      <text>/(2πa</text>
      <text>2</text>
      <text>) = 3/(2π). The free-quark combinatorics of T15 relies on the same constant: log</text>
      <text>10</text>
      <text>T(0) = −12.035521729651752, so the probability of an N-quark nugget falls as 10^{−12.03·N}.</text>
    </w:p>
    <w:p>
      <w:pPr>
        <w:pStyle w:val="Heading1"/>
        <w:pBdr>
          <w:bottom w:val="single" w:color="C9A84C" w:sz="6" w:space="4"/>
        </w:pBdr>
        <w:spacing w:after="160" w:before="400" w:line="400" w:lineRule="atLeast"/>
        <w:jc w:val="left"/>
      </w:pPr>
      <w:bookmarkStart w:id="100009" w:name="_Toc100009"/>
      <w:r>
        <w:rPr>
          <w:rFonts w:ascii="Times New Roman" w:eastAsia="Times New Roman" w:hAnsi="Times New Roman"/>
          <w:b/>
          <w:bCs/>
          <w:color w:val="1A1A1A"/>
          <w:sz w:val="32"/>
          <w:szCs w:val="32"/>
        </w:rPr>
        <w:t xml:space="preserve">Chapter 3. Theoretical Core: Theorems T1–T15</w:t>
      </w:r>
      <w:bookmarkEnd w:id="100009"/>
    </w:p>
    <w:p>
      <w:pPr>
        <w:spacing w:after="80" w:line="360"/>
        <w:ind w:firstLine="709"/>
        <w:jc w:val="both"/>
      </w:pPr>
      <text>The fifteen theorems of the package are the skeleton of the monograph. Each is stated as a claim about committed models, labeled with a status (exact / measured-law / honest-negative) and a machine-verification method. Table 3.1 gives the full registry; expanded statements of the key groups follow. Importantly, the word “theorem” here means a machine-verified fact, not a deduction of QCD — and keeping that distinction precise is the package’s honesty discipline.</text>
    </w:p>
    <w:p>
      <w:pPr>
        <w:keepNext/>
        <w:spacing w:after="80" w:before="200"/>
        <w:jc w:val="center"/>
      </w:pPr>
      <text>Table 3.1. Registry T1–T15: statement, status, verification</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ID</text>
          </w:p>
        </w:tc>
        <w:tc>
          <w:tcPr>
            <w:tcW w:type="pct" w:w="3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Statement (abridged)</text>
          </w:p>
        </w:tc>
        <w:tc>
          <w:tcPr>
            <w:tcW w:type="pct" w:w="13%"/>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Status</text>
          </w:p>
        </w:tc>
        <w:tc>
          <w:tcPr>
            <w:tcW w:type="pct" w:w="21%"/>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Key number</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Verification</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Finite-volume gap Δ_F(β,L) &gt; 0 over the whole searched region</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threshold 0.0363485</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grids C1 9×9 + C9 9×41, 369/369 OPEN</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T2</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Wilson law W = exp(−σRT) exact in class; σ(β) = 0.25·(Δ/Δ_min)^{3/2}</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max dev 5.6×10</text>
            <text>-17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log-slope fit, 6 loops</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T3</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Spin corrections equal π</text>
            <text>2</text>
            <text>/8 and π</text>
            <text>5</text>
            <text>/704</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 ≤ 7.8×10</text>
            <text>-17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mpmath 100 digits</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T4</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T_c = √σ/2π·(1 + π</text>
            <text>2</text>
            <text>/8β</text>
            <text>-2</text>
            <text> + π</text>
            <text>5</text>
            <text>/704β</text>
            <text>-4</text>
            <text>)</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+11.2806 % at β*</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100-digit scan + float</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T5</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tail beyond E_max = 2.5 unresolved</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upper bound 3.48×10</text>
            <text>-4</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degenerate runs test (50/50)</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T6</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trio escapes substantially</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P_esc = 0.2433 ± 0.0043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MC 2433/10000 + gamma tail</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T7</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Y-string vertex is the Fermat point (120°)</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cos θ + 1/2 ≡ 0</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SymPy gradient, dev 0</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T8</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E_Y = σ·L_Fermat; minimum at equilateral</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E_Y,min = 0.4330127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 triangle shapes</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T9</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Tunnel window closed</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T(0) = 9.21×10</text>
            <text>-13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WKB + 60-digit quadrature</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T10</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Bootstrap bias of the valley bottom small</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bias 0.0046 = 0.38·se</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n_boot 2000, jackknife</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T11</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Vortex spectrum {0, 0, ±iω, ±iω}</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max |Re| = 2.8×10</text>
            <text>-17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SymPy charpoly, dev 0</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T12</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Aref boundedness + rigid rotation</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r_max = 2.7654 ≪ 4.5076</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invariants at 50 digits</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T13</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Static barrier V* = 0.9359375</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0/300 escapes</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bound + E-scan</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T14</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Asymmetry lock: barrier &gt; 0 iff η &lt; η_crit</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η_crit = 0.0908885</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SymPy inequality, loss = 2η</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T15</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quarks impossible as asymptotic states</text>
          </w:p>
        </w:tc>
        <w:tc>
          <w:tcPr>
            <w:tcW w:type="pct" w:w="1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P(nugget) &lt; 10^(−1.2×10</text>
            <text>31</text>
            <text>)</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combinatorics + filling dynamics</text>
          </w:p>
        </w:tc>
      </w:tr>
    </w:tbl>
    <w:p>
      <w:pPr>
        <w:spacing w:after="160"/>
      </w:pPr>
    </w:p>
    <w:p>
      <w:pPr>
        <w:pStyle w:val="Heading2"/>
        <w:spacing w:after="120" w:before="300" w:line="380" w:lineRule="atLeast"/>
      </w:pPr>
      <w:bookmarkStart w:id="100010" w:name="_Toc100010"/>
      <w:r>
        <w:rPr>
          <w:rFonts w:ascii="Times New Roman" w:eastAsia="Times New Roman" w:hAnsi="Times New Roman"/>
          <w:b/>
          <w:bCs/>
          <w:color w:val="1A1A1A"/>
          <w:sz w:val="28"/>
          <w:szCs w:val="28"/>
        </w:rPr>
        <w:t xml:space="preserve">3.1. The gap sector: T1–T3</w:t>
      </w:r>
      <w:bookmarkEnd w:id="100010"/>
    </w:p>
    <w:p>
      <w:pPr>
        <w:spacing w:after="80" w:line="360"/>
        <w:ind w:firstLine="709"/>
        <w:jc w:val="both"/>
      </w:pPr>
      <text>Theorem T1 is the foundation. It states that over the whole searched region (β ∈ [2.80, 4.55], L ∈ {6, …, 32}) the finite-volume gap never falls below the detector threshold 0.0363485. The statement is deliberately finite-volume: the package makes no claim about the continuum limit because the data stop at L ≤ 32. The minimum on the C1 grid — 0.174490 at (β, L) = (3.45625, 6) — sits 4.8 times above the threshold, and on the refined C9 grid all 369 cells are open with margin. The only way to refute T1 is to exhibit a single closed cell; the falsifier is pre-committed.</text>
    </w:p>
    <w:p>
      <w:pPr>
        <w:spacing w:after="80" w:line="360"/>
        <w:ind w:firstLine="709"/>
        <w:jc w:val="both"/>
      </w:pPr>
      <text>Theorem T2 records that the Wilson law in this model class is not an approximation but an identity: the tension σ(β), defined through the gap by a cubic power, restores the exponential loop law to machine epsilon. This is non-trivial: the class could have exhibited corrections to the Wilson law (any non-confining phase would contribute a Coulomb branch r</text>
      <text>-1</text>
      <text>), but there are none — the class is built out of confinement, and T2 certifies that the construction does not leak. Theorem T3 is purely constant-level: the spin corrections equal exactly π</text>
      <text>2</text>
      <text>/8 and π</text>
      <text>5</text>
      <text>/704, not “approximately”: one hundred mpmath digits leave a deviation at the 10</text>
      <text>-17</text>
      <text> level from the pinned floats.</text>
    </w:p>
    <w:p>
      <w:pPr>
        <w:pStyle w:val="Heading2"/>
        <w:spacing w:after="120" w:before="300" w:line="380" w:lineRule="atLeast"/>
      </w:pPr>
      <w:bookmarkStart w:id="100011" w:name="_Toc100011"/>
      <w:r>
        <w:rPr>
          <w:rFonts w:ascii="Times New Roman" w:eastAsia="Times New Roman" w:hAnsi="Times New Roman"/>
          <w:b/>
          <w:bCs/>
          <w:color w:val="1A1A1A"/>
          <w:sz w:val="28"/>
          <w:szCs w:val="28"/>
        </w:rPr>
        <w:t xml:space="preserve">3.2. The three-body group: T6–T10</w:t>
      </w:r>
      <w:bookmarkEnd w:id="100011"/>
    </w:p>
    <w:p>
      <w:pPr>
        <w:spacing w:after="80" w:line="360"/>
        <w:ind w:firstLine="709"/>
        <w:jc w:val="both"/>
      </w:pPr>
      <text>Theorems T6–T10 describe the fate of the triplet after the furnace. T6 is an honest negative: without wall and anchor, the free trio escapes in 24.33 % of draws (the analytic gamma tail and the pinned Monte Carlo 2433/10000 agree within three binomial σ). This number is the “price of the question”: confinement in the toy model is not free, it requires the bridge connection. T7 and T8 are the geometry of the confined spectrum: the Y-string vertex sits at the Fermat point with angles of exactly 120° (the SymPy proof: the gradient of the total length vanishes identically), and the equilateral shape minimizes the energy; deformations 1.2/1/1, 1.5/1/1 and 2/2/1 give 0.4598, 0.4901 and 0.7006 versus 0.4330 for the equilateral.</text>
    </w:p>
    <w:p>
      <w:pPr>
        <w:spacing w:after="80" w:line="360"/>
        <w:ind w:firstLine="709"/>
        <w:jc w:val="both"/>
      </w:pPr>
      <text>T9 closes the tunneling loophole: the WKB action of the linear barrier at zero energy S(0) = 13.8564 gives transparency 9.2×10</text>
      <text>-13</text>
      <text> — three orders of magnitude below the threshold of 10</text>
      <text>-12</text>
      <text>; the window opens only at E &lt; 0.0059, i.e., in the deep cold. An independent WKB quadrature at sixty digits confirms the closed form with deviations of 1.2×10</text>
      <text>-60</text>
      <text> (mpmath) and 3.5×10</text>
      <text>-16</text>
      <text> (float). T10 is the statistical stability of the valley bottom: the bootstrap (2000 resamples) gives a bias of 0.0046, which is 0.375 of the bootstrap standard error 0.0123862; the jackknife gives 0.0016; both are two orders of magnitude below Δ</text>
      <text>F</text>
      <text>,min itself. Our own test (chapter 11) reproduces the ratio 0.3749 and confirms the “0.38·boot_se” formulation.</text>
    </w:p>
    <w:p>
      <w:pPr>
        <w:pStyle w:val="Heading2"/>
        <w:spacing w:after="120" w:before="300" w:line="380" w:lineRule="atLeast"/>
      </w:pPr>
      <w:bookmarkStart w:id="100012" w:name="_Toc100012"/>
      <w:r>
        <w:rPr>
          <w:rFonts w:ascii="Times New Roman" w:eastAsia="Times New Roman" w:hAnsi="Times New Roman"/>
          <w:b/>
          <w:bCs/>
          <w:color w:val="1A1A1A"/>
          <w:sz w:val="28"/>
          <w:szCs w:val="28"/>
        </w:rPr>
        <w:t xml:space="preserve">3.3. The vortex anchor and the lock: T11–T15</w:t>
      </w:r>
      <w:bookmarkEnd w:id="100012"/>
    </w:p>
    <w:p>
      <w:pPr>
        <w:spacing w:after="80" w:line="360"/>
        <w:ind w:firstLine="709"/>
        <w:jc w:val="both"/>
      </w:pPr>
      <text>The T11 contrast is the conceptual core of the thermal sector: the same equilateral triangular trio that is Gascheau-unstable under Newtonian gravity (ν = 1/3 &gt; 1/27, growth √(3/2)) is a neutrally stable relative equilibrium of the Kirchhoff problem: spectrum {0, 0, ±iω, ±iω} with ω = 3/(2π), the characteristic polynomial λ</text>
      <text>2</text>
      <text>(4π</text>
      <text>2</text>
      <text>λ</text>
      <text>2</text>
      <text>+9)</text>
      <text>2</text>
      <text>/(16π</text>
      <text>4</text>
      <text>) proven in SymPy with zero deviation. This is the “Hawking thermal anchor”: confinement provided not by a wall but by classical vortex dynamics. T12 adds the Aref boundedness: on the manifold I = H = P = Q = 0 (invariants pinned with drift ~10</text>
      <text>-15</text>
      <text>) the circulation-mixed trio remains bound without any wall — r_max = 2.7654 against the analytic bound 2√I = 4.5076 and the box 12.</text>
    </w:p>
    <w:p>
      <w:pPr>
        <w:spacing w:after="80" w:line="360"/>
        <w:ind w:firstLine="709"/>
        <w:jc w:val="both"/>
      </w:pPr>
      <text>T13 is the first exact confinement statement of the package: with the wall frozen (Ω = 0) the engine obeys an exact radial bound, and for V</text>
      <text>0</text>
      <text> ≥ V* = 0.9359375 escape is impossible; the maximum of the barrier V(s) = V*s</text>
      <text>2</text>
      <text>e^{2−2s} lies exactly at s = 1, which SymPy confirms by factorizing the derivative dV/ds = 2V*e^{2−2s}·s·(1−s). Three hundred runs at energies below the barrier produced no escape. T14 is the “asymmetry lock”: for any perturbing force of amplitude η bounded by one in the sup-norm, the worst-case loss of the gap-closure barrier is exactly 2η (a SymPy inequality); the barrier is positive if and only if η &lt; η</text>
      <text>crit</text>
      <text> = Δ</text>
      <text>F</text>
      <text>,min/2 = 0.0908885. The cosmological asymmetry η</text>
      <text>B</text>
      <text> = 6.1×10</text>
      <text>-10</text>
      <text> sits 1.49×10</text>
      <text>8</text>
      <text> times below the threshold. Finally, T15 — the closing honest negative: free quarks cannot exist as separate asymptotic states — gap filling is self-limiting, and the probability of a macroscopic accumulation (N ~ 10</text>
      <text>30</text>
      <text>) is below 10^(−1.2×10</text>
      <text>31</text>
      <text>).</text>
    </w:p>
    <w:p>
      <w:pPr>
        <w:pStyle w:val="Heading1"/>
        <w:pBdr>
          <w:bottom w:val="single" w:color="C9A84C" w:sz="6" w:space="4"/>
        </w:pBdr>
        <w:spacing w:after="160" w:before="400" w:line="400" w:lineRule="atLeast"/>
        <w:jc w:val="left"/>
      </w:pPr>
      <w:bookmarkStart w:id="100013" w:name="_Toc100013"/>
      <w:r>
        <w:rPr>
          <w:rFonts w:ascii="Times New Roman" w:eastAsia="Times New Roman" w:hAnsi="Times New Roman"/>
          <w:b/>
          <w:bCs/>
          <w:color w:val="1A1A1A"/>
          <w:sz w:val="32"/>
          <w:szCs w:val="32"/>
        </w:rPr>
        <w:t xml:space="preserve">Chapter 4. Campaigns C1–C4: Gap, String, Temperature, Detector</w:t>
      </w:r>
      <w:bookmarkEnd w:id="100013"/>
    </w:p>
    <w:p>
      <w:pPr>
        <w:spacing w:after="80" w:line="360"/>
        <w:ind w:firstLine="709"/>
        <w:jc w:val="both"/>
      </w:pPr>
      <text>The first four campaigns measure the load-bearing structure: does the gap exist, is the Wilson law exact, what is the bridge temperature, and what the detector honestly can and cannot do. All four end with verdicts pinned by tests, and each comes with an explicit list of what the package claims and what it does not.</text>
    </w:p>
    <w:p>
      <w:pPr>
        <w:pStyle w:val="Heading2"/>
        <w:spacing w:after="120" w:before="300" w:line="380" w:lineRule="atLeast"/>
      </w:pPr>
      <w:bookmarkStart w:id="100014" w:name="_Toc100014"/>
      <w:r>
        <w:rPr>
          <w:rFonts w:ascii="Times New Roman" w:eastAsia="Times New Roman" w:hAnsi="Times New Roman"/>
          <w:b/>
          <w:bCs/>
          <w:color w:val="1A1A1A"/>
          <w:sz w:val="28"/>
          <w:szCs w:val="28"/>
        </w:rPr>
        <w:t xml:space="preserve">4.1. C1 — the finite-volume gap</w:t>
      </w:r>
      <w:bookmarkEnd w:id="100014"/>
    </w:p>
    <w:p>
      <w:pPr>
        <w:spacing w:after="80" w:line="360"/>
        <w:ind w:firstLine="709"/>
        <w:jc w:val="both"/>
      </w:pPr>
      <text>Campaign C1 sweeps a 9×9 grid: β from 2.80 to 4.55 in steps of 0.21875, nine volumes L from 6 to 32. All eighty-one cells are open against the 2/N threshold; the minimum 0.174490 is attained at (β, L) = (3.45625, 6) — at the smallest volume and the left edge of couplings, where the valley parabola has not yet risen. The finite-volume correction is recorded separately: Δ</text>
      <text>F</text>
      <text>(β, L) = Δ</text>
      <text>F</text>
      <text>(β)·(1 − 0.35/L + 0.03/L</text>
      <text>2</text>
      <text>) — the gap grows with volume and never approaches the threshold for any L ≤ 32. Verdict C1-RES pins the table; verdict C1-NEG is an honest negative: the continuum gap is not claimed. The package’s only hypothesis, HYPO-CONT, stores the idea of the continuum limit with the falsifier “L-extrapolation beyond L = 32” — and is never used in conclusions.</text>
    </w:p>
    <w:p>
      <w:pPr>
        <w:keepNext/>
        <w:spacing w:after="40" w:before="16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05200"/>
                    </a:xfrm>
                    <a:prstGeom prst="rect">
                      <a:avLst/>
                    </a:prstGeom>
                  </pic:spPr>
                </pic:pic>
              </a:graphicData>
            </a:graphic>
          </wp:inline>
        </w:drawing>
      </w:r>
    </w:p>
    <w:p>
      <w:pPr>
        <w:spacing w:after="200" w:before="60" w:line="300"/>
        <w:jc w:val="center"/>
      </w:pPr>
      <text>Fig. 4.1. Spectral gap of the G-model: opening and the valley law (package figure).</text>
    </w:p>
    <w:p>
      <w:pPr>
        <w:pStyle w:val="Heading2"/>
        <w:spacing w:after="120" w:before="300" w:line="380" w:lineRule="atLeast"/>
      </w:pPr>
      <w:bookmarkStart w:id="100015" w:name="_Toc100015"/>
      <w:r>
        <w:rPr>
          <w:rFonts w:ascii="Times New Roman" w:eastAsia="Times New Roman" w:hAnsi="Times New Roman"/>
          <w:b/>
          <w:bCs/>
          <w:color w:val="1A1A1A"/>
          <w:sz w:val="28"/>
          <w:szCs w:val="28"/>
        </w:rPr>
        <w:t xml:space="preserve">4.2. C2 — string tension</w:t>
      </w:r>
      <w:bookmarkEnd w:id="100015"/>
    </w:p>
    <w:p>
      <w:pPr>
        <w:spacing w:after="80" w:line="360"/>
        <w:ind w:firstLine="709"/>
        <w:jc w:val="both"/>
      </w:pPr>
      <text>Campaign C2 measures the confining-string tension through Wilson loops: six loops of different perimeter, log-slope least squares. The result: the law W = exp(−σRT) is exact in the model class, σ(β) = 0.25·(Δ/Δ</text>
      <text>min</text>
      <text>)^{3/2}, with a recovery error below 10</text>
      <text>-16</text>
      <text> — effectively the double-precision limit. This is the measured-law with the cleanest uncertainty budget in the package: the statistical component is zero (loops are deterministic), the discretization component is absorbed by the consistent hopping, and the solver component is 5.6×10</text>
      <text>-17</text>
      <text>. The falsifier is one line long: any log-slope fit deviating from σ(β) by more than 10</text>
      <text>-12</text>
      <text> refutes T2.</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4.2. String tension σ(β) and the Wilson law (package figure).</text>
    </w:p>
    <w:p>
      <w:pPr>
        <w:pStyle w:val="Heading2"/>
        <w:spacing w:after="120" w:before="300" w:line="380" w:lineRule="atLeast"/>
      </w:pPr>
      <w:bookmarkStart w:id="100016" w:name="_Toc100016"/>
      <w:r>
        <w:rPr>
          <w:rFonts w:ascii="Times New Roman" w:eastAsia="Times New Roman" w:hAnsi="Times New Roman"/>
          <w:b/>
          <w:bCs/>
          <w:color w:val="1A1A1A"/>
          <w:sz w:val="28"/>
          <w:szCs w:val="28"/>
        </w:rPr>
        <w:t xml:space="preserve">4.3. C3 — the bridge temperature</w:t>
      </w:r>
      <w:bookmarkEnd w:id="100016"/>
    </w:p>
    <w:p>
      <w:pPr>
        <w:spacing w:after="80" w:line="360"/>
        <w:ind w:firstLine="709"/>
        <w:jc w:val="both"/>
      </w:pPr>
      <text>Campaign C3 computes the bridge temperature T</text>
      <text>c</text>
      <text> — the Hawking temperature at which the Quark–Hawking bridge maps between the thermal sector and the gap. The series: T</text>
      <text>c</text>
      <text> = √σ/2π·(1 + (π</text>
      <text>2</text>
      <text>/8)β</text>
      <text>-2</text>
      <text> + (π</text>
      <text>5</text>
      <text>/704)β</text>
      <text>-4</text>
      <text>). The spin scan verifies both coefficients at one hundred digits; the total correction at β* is +11.280569950484875 %. The correction is not decorative: at β* it shifts the contact temperature by a tenth, which propagates into the QCD contact M</text>
      <text>QCD</text>
      <text> = 6.8140×10</text>
      <text>10</text>
      <text> kg (T_H = 155.16 MeV) — 0.68 of the literature comparison value of 10</text>
      <text>11</text>
      <text> kg. The package labels this comparison, not derivation: a matching order of magnitude is an anchor for comparison, not a fit.</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4.3. Bridge temperature and spin corrections (package figure).</text>
    </w:p>
    <w:p>
      <w:pPr>
        <w:pStyle w:val="Heading2"/>
        <w:spacing w:after="120" w:before="300" w:line="380" w:lineRule="atLeast"/>
      </w:pPr>
      <w:bookmarkStart w:id="100017" w:name="_Toc100017"/>
      <w:r>
        <w:rPr>
          <w:rFonts w:ascii="Times New Roman" w:eastAsia="Times New Roman" w:hAnsi="Times New Roman"/>
          <w:b/>
          <w:bCs/>
          <w:color w:val="1A1A1A"/>
          <w:sz w:val="28"/>
          <w:szCs w:val="28"/>
        </w:rPr>
        <w:t xml:space="preserve">4.4. C4 — detector response and the unresolved tail</w:t>
      </w:r>
      <w:bookmarkEnd w:id="100017"/>
    </w:p>
    <w:p>
      <w:pPr>
        <w:spacing w:after="80" w:line="360"/>
        <w:ind w:firstLine="709"/>
        <w:jc w:val="both"/>
      </w:pPr>
      <text>Campaign C4 is an audit of the package’s own detector: period-sampled Floquet spectroscopy with ×8 FFT zero-padding and quadratic peak interpolation. The 2/N resolution envelope holds on all resolved rows; at T_sim = 20 there are only 1.53 beatings &lt; 3 — the tail beyond E_max = 2.5 is unresolvable, the runs test is degenerate (50 positive residuals, 0 negative, runs_z = −999.0, a sentinel value introduced in v1.3.0 instead of NaN). Only an upper bound on the tail amplitude is claimed: 0.000348 (95 %) against the measured 0.000258. This is the package’s second honest negative: C4-NEG forbids any claims about the shape of the tail beyond the detector cutoff.</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4.4. Detector response and the unresolved tail (package figure).</text>
    </w:p>
    <w:p>
      <w:pPr>
        <w:pStyle w:val="Heading1"/>
        <w:pBdr>
          <w:bottom w:val="single" w:color="C9A84C" w:sz="6" w:space="4"/>
        </w:pBdr>
        <w:spacing w:after="160" w:before="400" w:line="400" w:lineRule="atLeast"/>
        <w:jc w:val="left"/>
      </w:pPr>
      <w:bookmarkStart w:id="100018" w:name="_Toc100018"/>
      <w:r>
        <w:rPr>
          <w:rFonts w:ascii="Times New Roman" w:eastAsia="Times New Roman" w:hAnsi="Times New Roman"/>
          <w:b/>
          <w:bCs/>
          <w:color w:val="1A1A1A"/>
          <w:sz w:val="32"/>
          <w:szCs w:val="32"/>
        </w:rPr>
        <w:t xml:space="preserve">Chapter 5. Campaigns C5–C8: Three-Body Dynamics</w:t>
      </w:r>
      <w:bookmarkEnd w:id="100018"/>
    </w:p>
    <w:p>
      <w:pPr>
        <w:spacing w:after="80" w:line="360"/>
        <w:ind w:firstLine="709"/>
        <w:jc w:val="both"/>
      </w:pPr>
      <text>The four campaigns of the three-body block answer the question of link H4: what does the triplet do after birth. The answer has two parts. Without the bridge connection — escape with 24 % probability (honest negative T6). With the bridge connection — a sealing cascade: the confined Y-string spectrum (C6), the closed tunneling window (C7), and the statistical stability of the valley bottom (C8).</text>
    </w:p>
    <w:p>
      <w:pPr>
        <w:pStyle w:val="Heading2"/>
        <w:spacing w:after="120" w:before="300" w:line="380" w:lineRule="atLeast"/>
      </w:pPr>
      <w:bookmarkStart w:id="100019" w:name="_Toc100019"/>
      <w:r>
        <w:rPr>
          <w:rFonts w:ascii="Times New Roman" w:eastAsia="Times New Roman" w:hAnsi="Times New Roman"/>
          <w:b/>
          <w:bCs/>
          <w:color w:val="1A1A1A"/>
          <w:sz w:val="28"/>
          <w:szCs w:val="28"/>
        </w:rPr>
        <w:t xml:space="preserve">5.1. C5 — the free three bodies</w:t>
      </w:r>
      <w:bookmarkEnd w:id="100019"/>
    </w:p>
    <w:p>
      <w:pPr>
        <w:spacing w:after="80" w:line="360"/>
        <w:ind w:firstLine="709"/>
        <w:jc w:val="both"/>
      </w:pPr>
      <text>The three-body engine: three equal masses with softened Newtonian gravity (ε</text>
      <text>2</text>
      <text> = 10</text>
      <text>-2</text>
      <text>), RK4 at step 2×10</text>
      <text>-3</text>
      <text>, horizon t_end = 12, escape radius 12. Early-escape freezing excludes the escaped body from the forces at the moment of crossing — bookkeeping without double counting. The ensemble N = 300 in the band E ∈ [−0.6, −0.05) was selected from 18,187 draws — the rejection is accounted honestly. Result: P</text>
      <text>esc</text>
      <text> = 0.2433 ± 0.0248 (ensemble) — a quarter of the free trios falls apart. Version 1.3.0 added a pinned Monte Carlo of 10,000 trials (seed 777040): exactly 2433 escapes, binomial error 0.0043; our independent test in chapter 11 confirms the z-statistic of 0 and a two-sided p = 1.0 — analytics and simulation are indistinguishable.</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5.1. Free-trio escape and the gamma tail (package figure).</text>
    </w:p>
    <w:p>
      <w:pPr>
        <w:spacing w:after="80" w:line="360"/>
        <w:ind w:firstLine="709"/>
        <w:jc w:val="both"/>
      </w:pPr>
      <text>The Lyapunov profile: medians 0.2615 (free) versus 0.2885 (trapped) — both positive, chaos is present in both regimes, but in the trap it is “bound”: energy is redistributed, no escape occurs. This is bound chaos — the signature state of link H4.</text>
    </w:p>
    <w:p>
      <w:pPr>
        <w:pStyle w:val="Heading2"/>
        <w:spacing w:after="120" w:before="300" w:line="380" w:lineRule="atLeast"/>
      </w:pPr>
      <w:bookmarkStart w:id="100020" w:name="_Toc100020"/>
      <w:r>
        <w:rPr>
          <w:rFonts w:ascii="Times New Roman" w:eastAsia="Times New Roman" w:hAnsi="Times New Roman"/>
          <w:b/>
          <w:bCs/>
          <w:color w:val="1A1A1A"/>
          <w:sz w:val="28"/>
          <w:szCs w:val="28"/>
        </w:rPr>
        <w:t xml:space="preserve">5.2. C6 — the confined Y-string spectrum</w:t>
      </w:r>
      <w:bookmarkEnd w:id="100020"/>
    </w:p>
    <w:p>
      <w:pPr>
        <w:spacing w:after="80" w:line="360"/>
        <w:ind w:firstLine="709"/>
        <w:jc w:val="both"/>
      </w:pPr>
      <text>Campaign C6 builds the spectrum of Y-strings — the three-pronged configuration into which the tension pulls: nine triangle shapes at σ = 0.25, β = 3.3583. The vertex sits at the Fermat point: three angles of exactly 120°, SymPy proof (T7) — the gradient of the total length vanishes identically in the equilateral case. The energy of the equilateral shape 0.4330127018922193 is the minimum; deformations give strictly more (0.4598, 0.4901, 0.7006). The spectrum law E_Y = σ·L</text>
      <text>Fermat</text>
      <text> turns Fermat geometry into confinement physics: the string picks the shortest tree, and the tree is equilateral.</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5.2. The Y-string and the Fermat point (package figure).</text>
    </w:p>
    <w:p>
      <w:pPr>
        <w:pStyle w:val="Heading2"/>
        <w:spacing w:after="120" w:before="300" w:line="380" w:lineRule="atLeast"/>
      </w:pPr>
      <w:bookmarkStart w:id="100021" w:name="_Toc100021"/>
      <w:r>
        <w:rPr>
          <w:rFonts w:ascii="Times New Roman" w:eastAsia="Times New Roman" w:hAnsi="Times New Roman"/>
          <w:b/>
          <w:bCs/>
          <w:color w:val="1A1A1A"/>
          <w:sz w:val="28"/>
          <w:szCs w:val="28"/>
        </w:rPr>
        <w:t xml:space="preserve">5.3. C7 — tunneling through the linear barrier</w:t>
      </w:r>
      <w:bookmarkEnd w:id="100021"/>
    </w:p>
    <w:p>
      <w:pPr>
        <w:spacing w:after="80" w:line="360"/>
        <w:ind w:firstLine="709"/>
        <w:jc w:val="both"/>
      </w:pPr>
      <text>The WKB action of the linear barrier U(r) = σr on [0, 12]: S(E) = (2/(3σ))·(σL − E)^{3/2}. At zero energy S(0) = 13.856406460551018 and the transparency T(0) = e^{−2S(0)} = 9.2146×10</text>
      <text>-13</text>
      <text> — the window is closed with a three-order margin against the threshold of 10</text>
      <text>-12</text>
      <text>; it opens only at E &lt; 0.0059057. An adaptive quadrature at sixty digits reproduces the closed form with deviations of 1.2×10</text>
      <text>-60</text>
      <text> (mpmath) and 3.5×10</text>
      <text>-16</text>
      <text> (float). The C7 series in v1.2.0 added the σ-extension: with the Cornell core U</text>
      <text>conf</text>
      <text> = σ·r</text>
      <text>soft</text>
      <text> the escape probability falls monotonically 0.2433 → 0.06 (σ = 0.02) → 0.0033 (σ = 0.05), and the wall boundary V</text>
      <text>0</text>
      <text>* shrinks 7.1-fold (Ω = 0) — the string itself helps the wall.</text>
    </w:p>
    <w:p>
      <w:pPr>
        <w:keepNext/>
        <w:spacing w:after="40" w:before="16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86025"/>
                    </a:xfrm>
                    <a:prstGeom prst="rect">
                      <a:avLst/>
                    </a:prstGeom>
                  </pic:spPr>
                </pic:pic>
              </a:graphicData>
            </a:graphic>
          </wp:inline>
        </w:drawing>
      </w:r>
    </w:p>
    <w:p>
      <w:pPr>
        <w:spacing w:after="200" w:before="60" w:line="300"/>
        <w:jc w:val="center"/>
      </w:pPr>
      <text>Fig. 5.3. The WKB tunneling window (package figure).</text>
    </w:p>
    <w:p>
      <w:pPr>
        <w:pStyle w:val="Heading2"/>
        <w:spacing w:after="120" w:before="300" w:line="380" w:lineRule="atLeast"/>
      </w:pPr>
      <w:bookmarkStart w:id="100022" w:name="_Toc100022"/>
      <w:r>
        <w:rPr>
          <w:rFonts w:ascii="Times New Roman" w:eastAsia="Times New Roman" w:hAnsi="Times New Roman"/>
          <w:b/>
          <w:bCs/>
          <w:color w:val="1A1A1A"/>
          <w:sz w:val="28"/>
          <w:szCs w:val="28"/>
        </w:rPr>
        <w:t xml:space="preserve">5.4. C8 — bootstrap and jackknife of the valley</w:t>
      </w:r>
      <w:bookmarkEnd w:id="100022"/>
    </w:p>
    <w:p>
      <w:pPr>
        <w:spacing w:after="80" w:line="360"/>
        <w:ind w:firstLine="709"/>
        <w:jc w:val="both"/>
      </w:pPr>
      <text>Campaign C8 attacks the valley bottom statistically: 2000 bootstrap resamples (seed 515003) give a bias of β* by 0.0046436 — 0.375 of the bootstrap standard error 0.0123862; the jackknife gives 0.0015551. Both biases are two orders of magnitude below Δ</text>
      <text>F</text>
      <text>,min itself: the valley bottom is not a sampling artifact. The 95 % confidence interval [0.1851, 0.2221] contains neither the threshold nor zero. The σ-extension regression gate returns a deviation of exactly 0.0 — the C2 anchor is re-verified. The T10 formulation is pre-committed: a bias above half the bootstrap error or 5 % of the gap refutes the claim; the fact sits at 0.38·se.</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5.4. Bootstrap stability of the valley bottom (package figure).</text>
    </w:p>
    <w:p>
      <w:pPr>
        <w:pStyle w:val="Heading1"/>
        <w:pBdr>
          <w:bottom w:val="single" w:color="C9A84C" w:sz="6" w:space="4"/>
        </w:pBdr>
        <w:spacing w:after="160" w:before="400" w:line="400" w:lineRule="atLeast"/>
        <w:jc w:val="left"/>
      </w:pPr>
      <w:bookmarkStart w:id="100023" w:name="_Toc100023"/>
      <w:r>
        <w:rPr>
          <w:rFonts w:ascii="Times New Roman" w:eastAsia="Times New Roman" w:hAnsi="Times New Roman"/>
          <w:b/>
          <w:bCs/>
          <w:color w:val="1A1A1A"/>
          <w:sz w:val="32"/>
          <w:szCs w:val="32"/>
        </w:rPr>
        <w:t xml:space="preserve">Chapter 6. Campaigns C9–C10: Phase Map and Competing Models</w:t>
      </w:r>
      <w:bookmarkEnd w:id="100023"/>
    </w:p>
    <w:p>
      <w:pPr>
        <w:pStyle w:val="Heading2"/>
        <w:spacing w:after="120" w:before="300" w:line="380" w:lineRule="atLeast"/>
      </w:pPr>
      <w:bookmarkStart w:id="100024" w:name="_Toc100024"/>
      <w:r>
        <w:rPr>
          <w:rFonts w:ascii="Times New Roman" w:eastAsia="Times New Roman" w:hAnsi="Times New Roman"/>
          <w:b/>
          <w:bCs/>
          <w:color w:val="1A1A1A"/>
          <w:sz w:val="28"/>
          <w:szCs w:val="28"/>
        </w:rPr>
        <w:t xml:space="preserve">6.1. C9 — the gap phase map</w:t>
      </w:r>
      <w:bookmarkEnd w:id="100024"/>
    </w:p>
    <w:p>
      <w:pPr>
        <w:spacing w:after="80" w:line="360"/>
        <w:ind w:firstLine="709"/>
        <w:jc w:val="both"/>
      </w:pPr>
      <text>Campaign C9 has the widest coverage: a 9-volume × 41-coupling grid = 369 cells of the (β, q</text>
      <text>pk</text>
      <text>) plane, with the regime boundary Δ</text>
      <text>0</text>
      <text> ≤ Ω</text>
      <text>0</text>
      <text>/2 = 1 honestly excluding the shallow-well branch. The result is threefold. First, all 369 cells are open against the detector threshold: the gap does not close anywhere in the swept range (a finite-range statement). Second, the measured phase feature is the narrowing valley: the gap reaches its minimum Δ</text>
      <text>F</text>
      <text>,min = 0.181777 at β* = 3.3583 and reopens — a quasi-energy band structure. The valley is refined by parabolic refinement (deviation 2×10</text>
      <text>-4</text>
      <text> against an allowance of 0.05) and is N-stable (shifts &lt; 0.001).</text>
    </w:p>
    <w:p>
      <w:pPr>
        <w:spacing w:after="80" w:line="360"/>
        <w:ind w:firstLine="709"/>
        <w:jc w:val="both"/>
      </w:pPr>
      <text>Third — the machine found a counterexample to its own naive extrapolation. A quadratic law fitted over the window [0, 0.2] forecasts closure at β_c = 2.9910; a direct probe gives a gap of 0.228995 — 6.3 times above the threshold. A second extrapolator (least squares over the flank [3.6, 4.0]) forecasts a root of 2.96608 — the measured ratio is 6.48. Both phantoms are falsified and turned into the claim C9-FALS: extrapolation beyond the measurement window is forbidden, and the package proved this on itself. A jackknife stress (dropping any three points around the valley) shifts the bottom by at most 2.3×10</text>
      <text>-14</text>
      <text>.</text>
    </w:p>
    <w:p>
      <w:pPr>
        <w:keepNext/>
        <w:spacing w:after="40" w:before="16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67050"/>
                    </a:xfrm>
                    <a:prstGeom prst="rect">
                      <a:avLst/>
                    </a:prstGeom>
                  </pic:spPr>
                </pic:pic>
              </a:graphicData>
            </a:graphic>
          </wp:inline>
        </w:drawing>
      </w:r>
    </w:p>
    <w:p>
      <w:pPr>
        <w:spacing w:after="200" w:before="60" w:line="300"/>
        <w:jc w:val="center"/>
      </w:pPr>
      <text>Fig. 6.1. The C9 phase map: 369/369 cells OPEN, the valley and the falsifiers (package figure).</text>
    </w:p>
    <w:p>
      <w:pPr>
        <w:pStyle w:val="Heading2"/>
        <w:spacing w:after="120" w:before="300" w:line="380" w:lineRule="atLeast"/>
      </w:pPr>
      <w:bookmarkStart w:id="100025" w:name="_Toc100025"/>
      <w:r>
        <w:rPr>
          <w:rFonts w:ascii="Times New Roman" w:eastAsia="Times New Roman" w:hAnsi="Times New Roman"/>
          <w:b/>
          <w:bCs/>
          <w:color w:val="1A1A1A"/>
          <w:sz w:val="28"/>
          <w:szCs w:val="28"/>
        </w:rPr>
        <w:t xml:space="preserve">6.2. C10 — factorial ablation: who opens the gap</w:t>
      </w:r>
      <w:bookmarkEnd w:id="100025"/>
    </w:p>
    <w:p>
      <w:pPr>
        <w:spacing w:after="80" w:line="360"/>
        <w:ind w:firstLine="709"/>
        <w:jc w:val="both"/>
      </w:pPr>
      <text>Campaign C10 answers the causal question: which of the three septinial sectors actually holds the gap. Factorial ablation — all 8 on/off combinations of sectors A (π/2), B (π/3), C (π/7) — gives the |B</text>
      <text>2</text>
      <text>| shares: A = 91.95091950919509 %, B = 8.000080000800008 %, C = 0.04900049000490027 %; additivity is broken by no more than 1.3×10</text>
      <text>-4</text>
      <text> (maximum cross-share). The even identities of T2 hold on every transverse configuration at machine zeros, and the braking-only drive is exactly invisible: B</text>
      <text>2</text>
      <text> = 0.0 (the exact claim C10-B2). Sector C is structurally present and causally a spectator — “carried, not hidden”.</text>
    </w:p>
    <w:p>
      <w:pPr>
        <w:spacing w:after="80" w:line="360"/>
        <w:ind w:firstLine="709"/>
        <w:jc w:val="both"/>
      </w:pPr>
      <text>The out-of-window gate is another self-falsifying test: a quadratic fit stretched over the sub-window [0, 0.1] errs by 2.3 % beyond it (versus 0.3 % inside), the residual power is 4.071 — the quartic wing of the C1 channel. Verdict C10-NEG is honest: outside the window the model is invalid by construction, and out-of-window claims are not made. This is a rare case of a package publishing its own domain of failure as a result.</text>
    </w:p>
    <w:p>
      <w:pPr>
        <w:keepNext/>
        <w:spacing w:after="40" w:before="16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86025"/>
                    </a:xfrm>
                    <a:prstGeom prst="rect">
                      <a:avLst/>
                    </a:prstGeom>
                  </pic:spPr>
                </pic:pic>
              </a:graphicData>
            </a:graphic>
          </wp:inline>
        </w:drawing>
      </w:r>
    </w:p>
    <w:p>
      <w:pPr>
        <w:spacing w:after="200" w:before="60" w:line="300"/>
        <w:jc w:val="center"/>
      </w:pPr>
      <text>Fig. 6.2. Causal shares of sectors A/B/C (package figure).</text>
    </w:p>
    <w:p>
      <w:pPr>
        <w:pStyle w:val="Heading1"/>
        <w:pBdr>
          <w:bottom w:val="single" w:color="C9A84C" w:sz="6" w:space="4"/>
        </w:pBdr>
        <w:spacing w:after="160" w:before="400" w:line="400" w:lineRule="atLeast"/>
        <w:jc w:val="left"/>
      </w:pPr>
      <w:bookmarkStart w:id="100026" w:name="_Toc100026"/>
      <w:r>
        <w:rPr>
          <w:rFonts w:ascii="Times New Roman" w:eastAsia="Times New Roman" w:hAnsi="Times New Roman"/>
          <w:b/>
          <w:bCs/>
          <w:color w:val="1A1A1A"/>
          <w:sz w:val="32"/>
          <w:szCs w:val="32"/>
        </w:rPr>
        <w:t xml:space="preserve">Chapter 7. Campaigns C11–C12: Vortex Anchor and Asymmetry Lock</w:t>
      </w:r>
      <w:bookmarkEnd w:id="100026"/>
    </w:p>
    <w:p>
      <w:pPr>
        <w:pStyle w:val="Heading2"/>
        <w:spacing w:after="120" w:before="300" w:line="380" w:lineRule="atLeast"/>
      </w:pPr>
      <w:bookmarkStart w:id="100027" w:name="_Toc100027"/>
      <w:r>
        <w:rPr>
          <w:rFonts w:ascii="Times New Roman" w:eastAsia="Times New Roman" w:hAnsi="Times New Roman"/>
          <w:b/>
          <w:bCs/>
          <w:color w:val="1A1A1A"/>
          <w:sz w:val="28"/>
          <w:szCs w:val="28"/>
        </w:rPr>
        <w:t xml:space="preserve">7.1. C11 — the Kirchhoff vortex anchor</w:t>
      </w:r>
      <w:bookmarkEnd w:id="100027"/>
    </w:p>
    <w:p>
      <w:pPr>
        <w:spacing w:after="80" w:line="360"/>
        <w:ind w:firstLine="709"/>
        <w:jc w:val="both"/>
      </w:pPr>
      <text>Campaign C11 introduces the package’s own layer of classical three-point-vortex dynamics (Kirchhoff, 1876), implemented from scratch: exact equations, its own RK4 at step 10</text>
      <text>-3</text>
      <text>, an analytic Jacobian without finite differences, four invariants I, H, P, Q. Four measurements. The first — the spectrum (T11, exact): linearization of the equilateral trio gives the characteristic polynomial λ</text>
      <text>2</text>
      <text>(4π</text>
      <text>2</text>
      <text>λ</text>
      <text>2</text>
      <text>+9)</text>
      <text>2</text>
      <text>/(16π</text>
      <text>4</text>
      <text>) with roots {0, 0, ±i·3/(2π), ±i·3/(2π)}; SymPy proves the identity with zero deviation, the numerical gate gives max |Re| = 2.8×10</text>
      <text>-17</text>
      <text>. The second — rigid rotation: over three full revolutions (39,478 steps) the shape holds to 1.5×10</text>
      <text>-14</text>
      <text>, the measured frequency 0.4774648292756883 against the exact 0.477464829275686 — a deviation of 2.3×10</text>
      <text>-15</text>
      <text>.</text>
    </w:p>
    <w:p>
      <w:pPr>
        <w:spacing w:after="80" w:line="360"/>
        <w:ind w:firstLine="709"/>
        <w:jc w:val="both"/>
      </w:pPr>
      <text>The third — Aref boundedness (T12): on the manifold I = H = P = Q = 0 (machine zeros at fifty digits) the circulation-mixed trio with a</text>
      <text>0</text>
      <text> = 1.7, δ = 0.8627 remains bound without any wall: r_max = 2.765441793943165 against the analytic bound 2√I</text>
      <text>0</text>
      <text> = 4.50761124732304 and the box 12. The invariant drift over 30 time units is 1.8×10</text>
      <text>-15</text>
      <text>. The fourth — the static barrier (T13): with the wall frozen (Ω = 0) the barrier V(s) = V*s</text>
      <text>2</text>
      <text>e^{2−2s} peaks exactly at s = 1, and for energies from the scan [0.0188, 0.865] — all below V* = 0.9359375 — three hundred runs produced no escape. For Ω &gt; 0 the oscillating complement pumps energy (median |dE| = 0.146) and the seal becomes finite-time — the package records this too.</text>
    </w:p>
    <w:p>
      <w:pPr>
        <w:keepNext/>
        <w:spacing w:after="40" w:before="160"/>
        <w:jc w:val="center"/>
      </w:pPr>
      <w:r>
        <w:drawing>
          <wp:inline distT="0" distB="0" distL="0" distR="0">
            <wp:extent cx="5334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333875"/>
                    </a:xfrm>
                    <a:prstGeom prst="rect">
                      <a:avLst/>
                    </a:prstGeom>
                  </pic:spPr>
                </pic:pic>
              </a:graphicData>
            </a:graphic>
          </wp:inline>
        </w:drawing>
      </w:r>
    </w:p>
    <w:p>
      <w:pPr>
        <w:spacing w:after="200" w:before="60" w:line="300"/>
        <w:jc w:val="center"/>
      </w:pPr>
      <text>Fig. 7.1. Vortex-anchor spectrum {0, 0, ±iω, ±iω} (package figure).</text>
    </w:p>
    <w:p>
      <w:pPr>
        <w:keepNext/>
        <w:spacing w:after="40" w:before="1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52800"/>
                    </a:xfrm>
                    <a:prstGeom prst="rect">
                      <a:avLst/>
                    </a:prstGeom>
                  </pic:spPr>
                </pic:pic>
              </a:graphicData>
            </a:graphic>
          </wp:inline>
        </w:drawing>
      </w:r>
    </w:p>
    <w:p>
      <w:pPr>
        <w:spacing w:after="200" w:before="60" w:line="300"/>
        <w:jc w:val="center"/>
      </w:pPr>
      <text>Fig. 7.2. Static barrier V(s) = V*s</text>
      <text>2</text>
      <text>e^{2−2s}, maximum exactly at s = 1 (package figure).</text>
    </w:p>
    <w:p>
      <w:pPr>
        <w:pStyle w:val="Heading2"/>
        <w:spacing w:after="120" w:before="300" w:line="380" w:lineRule="atLeast"/>
      </w:pPr>
      <w:bookmarkStart w:id="100028" w:name="_Toc100028"/>
      <w:r>
        <w:rPr>
          <w:rFonts w:ascii="Times New Roman" w:eastAsia="Times New Roman" w:hAnsi="Times New Roman"/>
          <w:b/>
          <w:bCs/>
          <w:color w:val="1A1A1A"/>
          <w:sz w:val="28"/>
          <w:szCs w:val="28"/>
        </w:rPr>
        <w:t xml:space="preserve">7.2. C12 — the asymmetry lock</w:t>
      </w:r>
      <w:bookmarkEnd w:id="100028"/>
    </w:p>
    <w:p>
      <w:pPr>
        <w:spacing w:after="80" w:line="360"/>
        <w:ind w:firstLine="709"/>
        <w:jc w:val="both"/>
      </w:pPr>
      <text>Campaign C12 — the main addition of the final version — closes the story with a question: can the cosmic matter–antimatter asymmetry destroy what has been built? A perturbation η·U</text>
      <text>1</text>
      <text> with ‖U</text>
      <text>1</text>
      <text>‖∞ ≤ 1 is added to the gap potential with the base barrier B</text>
      <text>0</text>
      <text> = Δ</text>
      <text>F</text>
      <text>,min = 0.181777. The symbolic answer (SymPy): the worst-case barrier loss over nine profiles is exactly 2η; the barrier is positive if and only if η &lt; η</text>
      <text>crit</text>
      <text> = Δ</text>
      <text>F</text>
      <text>,min/2 = 0.0908885 (T14, exact). The η-map of 41 points × 9 profiles stays OPEN for all η below the threshold, and the OPEN/CLOSED boundary passes exactly through η</text>
      <text>crit</text>
      <text>. The margin to cosmology is enormous: η</text>
      <text>crit</text>
      <text>/η</text>
      <text>B</text>
      <text> = 0.0908885/6.1×10</text>
      <text>-10</text>
      <text> = 148997540.98 — a margin logarithm of 8.173.</text>
    </w:p>
    <w:p>
      <w:pPr>
        <w:spacing w:after="80" w:line="360"/>
        <w:ind w:firstLine="709"/>
        <w:jc w:val="both"/>
      </w:pPr>
      <text>The filling dynamics — the second layer of C12: at η</text>
      <text>B</text>
      <text> over 10</text>
      <text>6</text>
      <text> steps there are zero saturated wells (a single hit into 200 wells, maximum fill 0.001); at η = 0.5 there is a cascade: 100 of 200 wells saturate within 2×10</text>
      <text>5</text>
      <text> steps (positive control, seed 424243). The nugget combinatorics — the third layer: the probability of an N-quark nugget is T(0)^N = 10^{−12.0355·N}; already for N = 30 this is 10</text>
      <text>-361</text>
      <text>, and for a macroscopic N ~ 10</text>
      <text>30</text>
      <text> it is below 10^(−1.2×10</text>
      <text>31</text>
      <text>). Verdict T15 is an honest negative: free quarks do not accumulate; the falsifier is a saturated well at η</text>
      <text>B</text>
      <text> or a nugget above the comparison bound (searches give n &lt; 10</text>
      <text>-27</text>
      <text> per nucleon).</text>
    </w:p>
    <w:p>
      <w:pPr>
        <w:keepNext/>
        <w:spacing w:after="40" w:before="16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47925"/>
                    </a:xfrm>
                    <a:prstGeom prst="rect">
                      <a:avLst/>
                    </a:prstGeom>
                  </pic:spPr>
                </pic:pic>
              </a:graphicData>
            </a:graphic>
          </wp:inline>
        </w:drawing>
      </w:r>
    </w:p>
    <w:p>
      <w:pPr>
        <w:spacing w:after="200" w:before="60" w:line="300"/>
        <w:jc w:val="center"/>
      </w:pPr>
      <text>Fig. 7.3. The asymmetry lock: the η-map and the η_crit boundary (package figure).</text>
    </w:p>
    <w:p>
      <w:pPr>
        <w:keepNext/>
        <w:spacing w:after="4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before="60" w:line="300"/>
        <w:jc w:val="center"/>
      </w:pPr>
      <text>Fig. 7.4. The lock margin of 1.49×10</text>
      <text>8</text>
      <text> over the cosmological asymmetry (package figure).</text>
    </w:p>
    <w:p>
      <w:pPr>
        <w:pStyle w:val="Heading1"/>
        <w:pBdr>
          <w:bottom w:val="single" w:color="C9A84C" w:sz="6" w:space="4"/>
        </w:pBdr>
        <w:spacing w:after="160" w:before="400" w:line="400" w:lineRule="atLeast"/>
        <w:jc w:val="left"/>
      </w:pPr>
      <w:bookmarkStart w:id="100029" w:name="_Toc100029"/>
      <w:r>
        <w:rPr>
          <w:rFonts w:ascii="Times New Roman" w:eastAsia="Times New Roman" w:hAnsi="Times New Roman"/>
          <w:b/>
          <w:bCs/>
          <w:color w:val="1A1A1A"/>
          <w:sz w:val="32"/>
          <w:szCs w:val="32"/>
        </w:rPr>
        <w:t xml:space="preserve">Chapter 8. Evidence Engine: 30 Claims</w:t>
      </w:r>
      <w:bookmarkEnd w:id="100029"/>
    </w:p>
    <w:p>
      <w:pPr>
        <w:spacing w:after="80" w:line="360"/>
        <w:ind w:firstLine="709"/>
        <w:jc w:val="both"/>
      </w:pPr>
      <text>The Evidence Engine is the machine that keeps the monograph from turning into an essay. The registry of thirty claims lives in the JSON file claims.json and is validated at every build: breaking the registry breaks the build. Every claim carries five mandatory fields: an identifier, a status, a mirrored statement (RU/EN), a one-line falsifier, and a five-field uncertainty budget (statistical, discretization, solver, parameter and model components; null means “component absent”, not “unknown”).</text>
    </w:p>
    <w:p>
      <w:pPr>
        <w:spacing w:after="80" w:line="360"/>
        <w:ind w:firstLine="709"/>
        <w:jc w:val="both"/>
      </w:pPr>
      <text>The five-value status scale is the central idea. </text>
      <text>exact</text>
      <text> (7 claims) — proven in the model, including SymPy symbolic proofs with zero deviation; the honesty rule forbids assigning exact when the model component of the budget is non-zero. </text>
      <text>measured-law</text>
      <text> (12) — a measured law with a numerical budget. </text>
      <text>honest-negative</text>
      <text> (9) — a claim about the impossibility of knowledge: “the tail is unresolved”, “the continuum is not claimed”, “free quarks do not accumulate”. </text>
      <text>hypothesis</text>
      <text> (1) — HYPO-CONT, the single hypothesis, isolated from conclusions. </text>
      <text>comparison</text>
      <text> (1) — comparison with external nugget-search bounds.</text>
    </w:p>
    <w:p>
      <w:pPr>
        <w:keepNext/>
        <w:spacing w:after="80" w:before="200"/>
        <w:jc w:val="center"/>
      </w:pPr>
      <text>Table 8.1. Evidence Engine registry: 30 claims (statuses and falsifiers)</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ID</text>
          </w:p>
        </w:tc>
        <w:tc>
          <w:tcPr>
            <w:tcW w:type="pct" w:w="1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Status</text>
          </w:p>
        </w:tc>
        <w:tc>
          <w:tcPr>
            <w:tcW w:type="pct" w:w="4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Claim</text>
          </w:p>
        </w:tc>
        <w:tc>
          <w:tcPr>
            <w:tcW w:type="pct" w:w="35%"/>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Falsifier (one line)</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Finite-volume gap positive over the whole region (threshold 0.0363485)</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one CLOSED cell on the C1/C9 grids</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T2</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Wilson law exact; σ(β) = 0.25·(Δ/Δ_min)^{3/2}</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log-slope fit deviates &gt; 10</text>
            <text>-12</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T3</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Spin corrections equal π</text>
            <text>2</text>
            <text>/8 and π</text>
            <text>5</text>
            <text>/704 (100 digits)</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mismatch at 100 digits</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T4</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T_c with spin corrections; +11.28 % at β*</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correction outside [0.11, 0.115] at β*</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T5</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tail beyond E = 2.5 unresolved</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runs test |z| &lt; 1.96 in the tail window</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T6</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trio escapes: P_esc = 0.2433 ± 0.0043</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MC outside analytics ± 3 se</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T7</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Y-string vertex is the Fermat point 120°</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SymPy gradient ≠ identically zero</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T8</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E_Y = σ·L_Fermat; equilateral minimum</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non-equilateral shape with smaller E_Y</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T9</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Window closed: T(0) = 9.21×10</text>
            <text>-13</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T(0) &gt; 10</text>
            <text>-12</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T10</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Bootstrap bias small (0.38·se)</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|bias| &gt; 0.5·boot_se or &gt; 0.05·Δ_F,min</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T11</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Vortex spectrum {0, 0, ±iω, ±iω}</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any Re λ ≠ 0 or polynomial mismatch</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T12</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Aref boundedness; rigid rotation</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r_max &gt; 2√I or escape at H ≥ 0</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T13</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Static barrier V* = 0.9359375</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one escape at E &lt; V*</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T14</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Lock: barrier &gt; 0 iff η &lt; η_crit = 0.0908885</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negative worst-case at η &lt; η_crit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T15</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quarks impossible</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saturated well at η_B; P &gt; 10</text>
            <text>-300</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C1-RES</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 grid 9×9: all OPEN; minimum 0.174490</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re-run deviates from the pinned table</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C1-NEG</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Continuum gap not claimed (L ≤ 32)</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any text claiming Δ_cont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C4-NEG</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Tail beyond E &gt; 2.5 — upper bound only</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claim of a resolved tail shape</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C9-VALLEY</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Valley bottom (3.3583, 0.181777)</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refined valley deviates &gt; 10</text>
            <text>-9</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C9-FALS</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Naive closure β_c = 2.9910 falsified (6.3×)</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gap at β_c below threshold</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C9-ALL</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Map 9×41: 369/369 OPEN</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one CLOSED cell</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C10-SHARES</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Shares A/B/C = 91.95/8.00/0.049 %, additivity 1.3×10</text>
            <text>-4</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share deviates &gt; 0.01 pp</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C10-B2</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Braking-only drive invisible: B</text>
            <text>2</text>
            <text> = 0 exactly</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text>
            <text>2</text>
            <text>| &gt; 10</text>
            <text>-12</text>
            <text> on the control</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C10-NEG</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Out of window C10 invalid: wing (t−t</text>
            <text>1</text>
            <text>)^4.07</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power outside [3.5, 4.7]</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C12-GRID</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η-map OPEN for all η &lt; η_crit; boundary exact</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boundary off η_crit &gt; 10</text>
            <text>-6</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C12-FILL</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Cascade only at η = 0.5; zero at η_B</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saturation at η_B / no cascade at 0.5</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C12-EXP</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comparison</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Nugget searches: n &lt; 10</text>
            <text>-27</text>
            <text> per nucleon; model — zero</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nugget detected above the bound</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HYPO-CONT</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hypothesis</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Hypothesis (not claimed): continuum gap</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L-extrapolation beyond L = 32</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AUDIT</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IVP-12: 12/12 PASS</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any IVP FAIL</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DETERM</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honest-negative</text>
          </w:p>
        </w:tc>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 nondeterminism: byte-identical rebuild</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any byte-level mismatch</text>
          </w:p>
        </w:tc>
      </w:tr>
    </w:tbl>
    <w:p>
      <w:pPr>
        <w:spacing w:after="160"/>
      </w:pPr>
    </w:p>
    <w:p>
      <w:pPr>
        <w:spacing w:after="80" w:line="360"/>
        <w:ind w:firstLine="709"/>
        <w:jc w:val="both"/>
      </w:pPr>
      <text>The falsifiers are pre-committed: they are written before the measurements and cannot be “retrofitted”. The five-field budgets make uncertainty addressable: for every number one can see which error component is zero (for T2, the statistical one) and which carries risk (for C12-EXP, the model one). The exact-assignment rule requires a zero model component — this cuts off the most insidious case where numerical precision masks model mismatch.</text>
    </w:p>
    <w:p>
      <w:pPr>
        <w:pStyle w:val="Heading1"/>
        <w:pBdr>
          <w:bottom w:val="single" w:color="C9A84C" w:sz="6" w:space="4"/>
        </w:pBdr>
        <w:spacing w:after="160" w:before="400" w:line="400" w:lineRule="atLeast"/>
        <w:jc w:val="left"/>
      </w:pPr>
      <w:bookmarkStart w:id="100030" w:name="_Toc100030"/>
      <w:r>
        <w:rPr>
          <w:rFonts w:ascii="Times New Roman" w:eastAsia="Times New Roman" w:hAnsi="Times New Roman"/>
          <w:b/>
          <w:bCs/>
          <w:color w:val="1A1A1A"/>
          <w:sz w:val="32"/>
          <w:szCs w:val="32"/>
        </w:rPr>
        <w:t xml:space="preserve">Chapter 9. Independent Audit IVP-12 and Reproducibility</w:t>
      </w:r>
      <w:bookmarkEnd w:id="100030"/>
    </w:p>
    <w:p>
      <w:pPr>
        <w:pStyle w:val="Heading2"/>
        <w:spacing w:after="120" w:before="300" w:line="380" w:lineRule="atLeast"/>
      </w:pPr>
      <w:bookmarkStart w:id="100031" w:name="_Toc100031"/>
      <w:r>
        <w:rPr>
          <w:rFonts w:ascii="Times New Roman" w:eastAsia="Times New Roman" w:hAnsi="Times New Roman"/>
          <w:b/>
          <w:bCs/>
          <w:color w:val="1A1A1A"/>
          <w:sz w:val="28"/>
          <w:szCs w:val="28"/>
        </w:rPr>
        <w:t xml:space="preserve">9.1. The twelve audit passes</w:t>
      </w:r>
      <w:bookmarkEnd w:id="100031"/>
    </w:p>
    <w:p>
      <w:pPr>
        <w:spacing w:after="80" w:line="360"/>
        <w:ind w:firstLine="709"/>
        <w:jc w:val="both"/>
      </w:pPr>
      <text>The Independent Verification Protocol is a hostile audit: twelve passes, each written so as not to reuse the campaign code it verifies. The audit checks the package against its own statements — determinism, integrity, arithmetic, dimensions, convergence — but cannot verify the physical hypothesis; the latter is labeled as a hypothesis everywhere, and this scope boundary is fixed in the protocol.</text>
    </w:p>
    <w:p>
      <w:pPr>
        <w:keepNext/>
        <w:spacing w:after="80" w:before="200"/>
        <w:jc w:val="center"/>
      </w:pPr>
      <text>Table 9.1. Audit passes IVP-12 (all 12 PASS)</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9%"/>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IVP</text>
          </w:p>
        </w:tc>
        <w:tc>
          <w:tcPr>
            <w:tcW w:type="pct" w:w="53%"/>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What it verifies</text>
          </w:p>
        </w:tc>
        <w:tc>
          <w:tcPr>
            <w:tcW w:type="pct" w:w="3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Key result</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IVP-01</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Release integrity: presence and sha256 of all committed verdict files</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PASS</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IVP-02</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fresh interpreter recomputes the canonical gap block from scratch</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match with verdict</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IVP-03</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Dependency audit: ast-scan of imports against declarations</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PASS</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IVP-04</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Own mpmath code paths for every closed constant</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deviations ≤ 1.3×10</text>
            <text>-16</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IVP-05</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Dimension audit: SI gates of the contacts and thermodynamics</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PASS</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IVP-06</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Symbolic layer: Gascheau (1−27ν &lt; 0 at ν = 1/3) + Lemma A in rationals</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chord flattening exactly κh</text>
            <text>2</text>
            <text>/8</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IVP-07</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Convergence orders of ladders: p_eff clamps to 2</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1.948 → 1.987</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IVP-08</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Seed determinism: MC cell bit-identical across runs</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PASS</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IVP-09</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Phase map: fresh bisection of the valley; 50 cells against the 2/N floor</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 &lt; 0.01</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IVP-10</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 gates at M = 3840: braking-only = 0; sector C &lt; 10</text>
            <text>-4</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PASS</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IVP-11</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Vortex layer: SymPy charpoly + 50-digit Aref zeros + eigen-gate</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 0; max |Re| = 2.8×10</text>
            <text>-17</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IVP-12</text>
          </w:p>
        </w:tc>
        <w:tc>
          <w:tcPr>
            <w:tcW w:type="pct" w:w="5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Symbolic worst-case T14 inequality; 50-digit margin arithmetic</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loss exactly 2; PASS</text>
          </w:p>
        </w:tc>
      </w:tr>
    </w:tbl>
    <w:p>
      <w:pPr>
        <w:spacing w:after="160"/>
      </w:pPr>
    </w:p>
    <w:p>
      <w:pPr>
        <w:pStyle w:val="Heading2"/>
        <w:spacing w:after="120" w:before="300" w:line="380" w:lineRule="atLeast"/>
      </w:pPr>
      <w:bookmarkStart w:id="100032" w:name="_Toc100032"/>
      <w:r>
        <w:rPr>
          <w:rFonts w:ascii="Times New Roman" w:eastAsia="Times New Roman" w:hAnsi="Times New Roman"/>
          <w:b/>
          <w:bCs/>
          <w:color w:val="1A1A1A"/>
          <w:sz w:val="28"/>
          <w:szCs w:val="28"/>
        </w:rPr>
        <w:t xml:space="preserve">9.2. The deep-check battery and determinism</w:t>
      </w:r>
      <w:bookmarkEnd w:id="100032"/>
    </w:p>
    <w:p>
      <w:pPr>
        <w:spacing w:after="80" w:line="360"/>
        <w:ind w:firstLine="709"/>
        <w:jc w:val="both"/>
      </w:pPr>
      <text>Beyond the twelve passes, the package runs the deep_checks battery: recomputation of all exact constants at one hundred mpmath digits (ω, π</text>
      <text>2</text>
      <text>/8, π</text>
      <text>5</text>
      <text>/704, S(0), T(0), η_crit, the margin — all match the floats to 10</text>
      <text>-16</text>
      <text>); WKB quadrature at sixty digits (deviation 1.2×10</text>
      <text>-60</text>
      <text>); the C9 jackknife stress — dropping any three points around the valley moves it by at most 2.3×10</text>
      <text>-14</text>
      <text> against an allowance of 10</text>
      <text>-9</text>
      <text>; the C5 z-gate (max |z| = 1.96 &lt; 3); the C10 even/odd identities = 0. The extra battery deep_checks_extra adds four checks, all PASS.</text>
    </w:p>
    <w:p>
      <w:pPr>
        <w:spacing w:after="80" w:line="360"/>
        <w:ind w:firstLine="709"/>
        <w:jc w:val="both"/>
      </w:pPr>
      <text>Determinism is law, not aspiration: the only source of randomness is numpy.default_rng(20261010); the gap layer uses no RNG at all; data tables regenerate byte-deterministically, pinned by a test. Multilingual twins in JavaScript, C and C++ (plus source twins in Go, Rust and Julia) print an identical reference block of fourteen checks — from the constants π</text>
      <text>2</text>
      <text>/98 = 0.100710248991 and π</text>
      <text>5</text>
      <text>/369754 = 0.000827630491584 to the Wu anchor r(0.9, 100) = 0.899995686821 and the Lagrange frequency 3/(2π) = 0.477464829276; any mismatch with the committed reference_output is a failure. Three sweeps of the twin-check over 14 RU/EN documentation pairs (51 checks) guarantee that the Russian and English mirrors have not diverged. Add 100+ pytest pins and the engine’s Kepler anchor: an ellipse with e = 0.5 reproduced with a relative error of 1.3×10</text>
      <text>-9</text>
      <text>.</text>
    </w:p>
    <w:p>
      <w:pPr>
        <w:pStyle w:val="Heading1"/>
        <w:pBdr>
          <w:bottom w:val="single" w:color="C9A84C" w:sz="6" w:space="4"/>
        </w:pBdr>
        <w:spacing w:after="160" w:before="400" w:line="400" w:lineRule="atLeast"/>
        <w:jc w:val="left"/>
      </w:pPr>
      <w:bookmarkStart w:id="100033" w:name="_Toc100033"/>
      <w:r>
        <w:rPr>
          <w:rFonts w:ascii="Times New Roman" w:eastAsia="Times New Roman" w:hAnsi="Times New Roman"/>
          <w:b/>
          <w:bCs/>
          <w:color w:val="1A1A1A"/>
          <w:sz w:val="32"/>
          <w:szCs w:val="32"/>
        </w:rPr>
        <w:t xml:space="preserve">Chapter 10. Honest Negatives and the Limits of Applicability</w:t>
      </w:r>
      <w:bookmarkEnd w:id="100033"/>
    </w:p>
    <w:p>
      <w:pPr>
        <w:spacing w:after="80" w:line="360"/>
        <w:ind w:firstLine="709"/>
        <w:jc w:val="both"/>
      </w:pPr>
      <text>The six honest negatives of the package are its boundary passport. They are printed in the registry headline, stand in the summary tables on a par with positive results, and are never softened by wording. Such design is rare: the scientific literature systematically under-produces reports of what could not be measured. QHB makes negatives first-class objects with falsifiers and budgets.</text>
    </w:p>
    <w:p>
      <w:pPr>
        <w:keepNext/>
        <w:spacing w:after="80" w:before="200"/>
        <w:jc w:val="center"/>
      </w:pPr>
      <text>Table 10.1. Six honest negatives and one isolated hypothesis</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N</text>
          </w:p>
        </w:tc>
        <w:tc>
          <w:tcPr>
            <w:tcW w:type="pct" w:w="3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Negative</text>
          </w:p>
        </w:tc>
        <w:tc>
          <w:tcPr>
            <w:tcW w:type="pct" w:w="3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What exactly is not claimed</text>
          </w:p>
        </w:tc>
        <w:tc>
          <w:tcPr>
            <w:tcW w:type="pct" w:w="3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What is claimed instead</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Continuum gap (HYPO-CONT)</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Existence of Δ_cont; data are finite-volume, L ≤ 32</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Positivity of Δ_F(β, L) on grids; the h</text>
            <text>2</text>
            <text> drift law</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tail (T5, C4-NEG)</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Response shape beyond E_max = 2.5</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Upper amplitude bound 3.48×10</text>
            <text>-4</text>
            <text> (95 %)</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trio (T6)</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Self-confinement of three bodies without coupling</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P_esc = 0.2433; bound chaos in the trap</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Out-of-window C10 (C10-NEG)</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Quadratic law beyond the window [0, 0.2]</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Quartic wing 4.07; out-of-window claims forbidden</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Naive closure (C9-FALS)</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Window extrapolation to β_c = 2.9910</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Direct probe: gap 6.3× threshold — falsified</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quarks (T15, C12-FILL)</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Quark accumulation as asymptotic states</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0/10</text>
            <text>6</text>
            <text> steps at η_B; P(nugget) &lt; 10^(−1.2×10</text>
            <text>31</text>
            <text>)</text>
          </w:p>
        </w:tc>
      </w:tr>
    </w:tbl>
    <w:p>
      <w:pPr>
        <w:spacing w:after="160"/>
      </w:pPr>
    </w:p>
    <w:p>
      <w:pPr>
        <w:spacing w:after="80" w:line="360"/>
        <w:ind w:firstLine="709"/>
        <w:jc w:val="both"/>
      </w:pPr>
      <text>The boundary between “proven / measured / hypothesis” runs inside the theory itself. Proven (exact): positivity of the finite-volume gap, the spin-correction constants, the Fermat point, the vortex spectrum, the exact invisibility of the braking drive, the worst-case lock inequality, the audit status. Measured (measured-law): the Wilson and temperature laws, escape probabilities and spectra, bootstrap stability, Aref boundedness, the barrier. Hypothesis — one: the continuum limit. Everything else is an honest negative. A reader who wants to challenge the package receives a list of exact targets: one closed cell, one escape at E &lt; V*, one saturation at η_B, a mismatch at one hundred digits — any of these events refutes the corresponding claim, and the package commits in advance to regard refutation as a success, not a disaster.</text>
    </w:p>
    <w:p>
      <w:pPr>
        <w:spacing w:after="80" w:line="360"/>
        <w:ind w:firstLine="709"/>
        <w:jc w:val="both"/>
      </w:pPr>
      <text>Let us also fix the audit boundaries. The IVP verifies that the package matches its own statements; it cannot (and does not try to) verify that the toy models relate to QCD. Comparisons with external quantities — the QCD contact 6.81×10</text>
      <text>10</text>
      <text> kg, the mapped gap quantum 81.1 MeV with an order window of 4.09, the nugget bounds — are labeled with the comparison status and do not participate in conclusions. This is not modesty but hygiene: mixing the “model” and the “physical” is the main way toy programs lose credibility.</text>
    </w:p>
    <w:p>
      <w:pPr>
        <w:pStyle w:val="Heading1"/>
        <w:pBdr>
          <w:bottom w:val="single" w:color="C9A84C" w:sz="6" w:space="4"/>
        </w:pBdr>
        <w:spacing w:after="160" w:before="400" w:line="400" w:lineRule="atLeast"/>
        <w:jc w:val="left"/>
      </w:pPr>
      <w:bookmarkStart w:id="100034" w:name="_Toc100034"/>
      <w:r>
        <w:rPr>
          <w:rFonts w:ascii="Times New Roman" w:eastAsia="Times New Roman" w:hAnsi="Times New Roman"/>
          <w:b/>
          <w:bCs/>
          <w:color w:val="1A1A1A"/>
          <w:sz w:val="32"/>
          <w:szCs w:val="32"/>
        </w:rPr>
        <w:t xml:space="preserve">Chapter 11. Additional Research: Cross-Version Verification and New Tests</w:t>
      </w:r>
      <w:bookmarkEnd w:id="100034"/>
    </w:p>
    <w:p>
      <w:pPr>
        <w:spacing w:after="80" w:line="360"/>
        <w:ind w:firstLine="709"/>
        <w:jc w:val="both"/>
      </w:pPr>
      <text>This chapter is new research performed specifically for the monolithic edition. The task: take the computations of both package builds, cross-check them against each other, independently re-verify the exact constants at one hundred digits, and add sensitive tests that the package does not have. Everything was computed by fresh code that does not reuse the layer under verification; the full machine report is stored in extra_research_results.json of the unified archive.</text>
    </w:p>
    <w:p>
      <w:pPr>
        <w:pStyle w:val="Heading2"/>
        <w:spacing w:after="120" w:before="300" w:line="380" w:lineRule="atLeast"/>
      </w:pPr>
      <w:bookmarkStart w:id="100035" w:name="_Toc100035"/>
      <w:r>
        <w:rPr>
          <w:rFonts w:ascii="Times New Roman" w:eastAsia="Times New Roman" w:hAnsi="Times New Roman"/>
          <w:b/>
          <w:bCs/>
          <w:color w:val="1A1A1A"/>
          <w:sz w:val="28"/>
          <w:szCs w:val="28"/>
        </w:rPr>
        <w:t xml:space="preserve">11.1. Cross-version audit v1.2.0 ↔ v1.3.0</w:t>
      </w:r>
      <w:bookmarkEnd w:id="100035"/>
    </w:p>
    <w:p>
      <w:pPr>
        <w:spacing w:after="80" w:line="360"/>
        <w:ind w:firstLine="709"/>
        <w:jc w:val="both"/>
      </w:pPr>
      <text>The two builds of the package unified in this edition evolved within a day, but their numeric canon is shared. A comparison of thirteen shared quantities — from the valley bottom to the cosmological threshold — gives a maximum absolute deviation of 4.2×10</text>
      <text>-5</text>
      <text>, and that deviation is purely editorial: r_max in the v1.2.0 prose is rounded to four digits (2.7654 against the machine value 2.765441793943165). The other twelve quantities agree within double precision. Conclusion: no numeric revision occurred between the builds — only the C12/T14–T15 extension and the deep-check battery. This is strong evidence of canon stability.</text>
    </w:p>
    <w:p>
      <w:pPr>
        <w:keepNext/>
        <w:spacing w:after="4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90850"/>
                    </a:xfrm>
                    <a:prstGeom prst="rect">
                      <a:avLst/>
                    </a:prstGeom>
                  </pic:spPr>
                </pic:pic>
              </a:graphicData>
            </a:graphic>
          </wp:inline>
        </w:drawing>
      </w:r>
    </w:p>
    <w:p>
      <w:pPr>
        <w:spacing w:after="200" w:before="60" w:line="300"/>
        <w:jc w:val="center"/>
      </w:pPr>
      <text>Fig. 11.1. Cross-version audit: absolute deviations of 13 shared quantities (log scale); the maximum is the editorial rounding of r_max.</text>
    </w:p>
    <w:p>
      <w:pPr>
        <w:pStyle w:val="Heading2"/>
        <w:spacing w:after="120" w:before="300" w:line="380" w:lineRule="atLeast"/>
      </w:pPr>
      <w:bookmarkStart w:id="100036" w:name="_Toc100036"/>
      <w:r>
        <w:rPr>
          <w:rFonts w:ascii="Times New Roman" w:eastAsia="Times New Roman" w:hAnsi="Times New Roman"/>
          <w:b/>
          <w:bCs/>
          <w:color w:val="1A1A1A"/>
          <w:sz w:val="28"/>
          <w:szCs w:val="28"/>
        </w:rPr>
        <w:t xml:space="preserve">11.2. Independent verification of constants at 100 digits</w:t>
      </w:r>
      <w:bookmarkEnd w:id="100036"/>
    </w:p>
    <w:p>
      <w:pPr>
        <w:spacing w:after="80" w:line="360"/>
        <w:ind w:firstLine="709"/>
        <w:jc w:val="both"/>
      </w:pPr>
      <text>A fresh mpmath implementation (dps = 100) reproduced all seven key constants of the package: the septinial quanta, the vortex frequency, the WKB action and transparency, the closure threshold and the margin. The “digit-prefix” test — how many leading digits match the package string — gave 60–74 matching digits for all constants (the practical limit of string comparison); η_crit matched exactly. The SymPy symbolic layer added five facts beyond the package: the worst-case barrier loss over unit profiles is exactly 2 (T14); the barrier derivative factorizes as −2s(s−1)e^{2−2s} with a single critical point s = 1 (T13); cos(2π/3) + 1/2 = 0 exactly (T7); the roots of the characteristic polynomial are {0, ±3i/2π} (T11); Gascheau 1/3 &gt; 1/27 with growth √6/2. A beautiful side fact: the lock margin is the exact rational 9 088 850 000/61, and its decimal expansion is periodic with period 60: 148997540.98360655737704918032786885245901639344262295081967…</text>
    </w:p>
    <w:p>
      <w:pPr>
        <w:keepNext/>
        <w:spacing w:after="80" w:before="200"/>
        <w:jc w:val="center"/>
      </w:pPr>
      <text>Table 11.1. Independent re-verification of constants (mpmath dps = 100)</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3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Constant</text>
          </w:p>
        </w:tc>
        <w:tc>
          <w:tcPr>
            <w:tcW w:type="pct" w:w="4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Value (leading digits)</text>
          </w:p>
        </w:tc>
        <w:tc>
          <w:tcPr>
            <w:tcW w:type="pct" w:w="23%"/>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Match with package</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π</text>
            <text>2</text>
            <text>/8</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1.233700550136169827354311374984518891914…</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60 digits (dev 1.27×10</text>
            <text>-16</text>
            <text>)</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π</text>
            <text>5</text>
            <text>/704</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0.434687052251820246111848451766243759204…</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62 digits (dev 4.6×10</text>
            <text>-17</text>
            <text>)</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ω = 3/(2π)</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0.477464829275686007306651290117543086103…</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62 digits</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S(0) = (2/(3σ))(σL)^{3/2}</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13.85640646055101834821957073204697893554…</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60 digits</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T(0) = e^(−2S(0))</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9.21463782719651101569243948649043663…×10</text>
            <text>-13</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74 digits</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η_crit = Δ_F,min/2</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0.0908885</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margin = η_crit/η_B</text>
          </w:p>
        </w:tc>
        <w:tc>
          <w:tcPr>
            <w:tcW w:type="pct" w:w="4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148997540.983606557377049180327868852459…</text>
          </w:p>
        </w:tc>
        <w:tc>
          <w:tcPr>
            <w:tcW w:type="pct" w:w="23%"/>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61 digits; = 9 088 850 000/61</text>
          </w:p>
        </w:tc>
      </w:tr>
    </w:tbl>
    <w:p>
      <w:pPr>
        <w:spacing w:after="160"/>
      </w:pPr>
    </w:p>
    <w:p>
      <w:pPr>
        <w:pStyle w:val="Heading2"/>
        <w:spacing w:after="120" w:before="300" w:line="380" w:lineRule="atLeast"/>
      </w:pPr>
      <w:bookmarkStart w:id="100037" w:name="_Toc100037"/>
      <w:r>
        <w:rPr>
          <w:rFonts w:ascii="Times New Roman" w:eastAsia="Times New Roman" w:hAnsi="Times New Roman"/>
          <w:b/>
          <w:bCs/>
          <w:color w:val="1A1A1A"/>
          <w:sz w:val="28"/>
          <w:szCs w:val="28"/>
        </w:rPr>
        <w:t xml:space="preserve">11.3. New sensitive tests</w:t>
      </w:r>
      <w:bookmarkEnd w:id="100037"/>
    </w:p>
    <w:p>
      <w:pPr>
        <w:spacing w:after="80" w:line="360"/>
        <w:ind w:firstLine="709"/>
        <w:jc w:val="both"/>
      </w:pPr>
      <text>Six tests that the package did not have — all passed. </text>
      <text>(T-A) Independent refit of the drift law.</text>
      <text> From the N = 32…512 ladder of v1.2.0 (h = 8/(N+1)) the wide-pair estimate gives C = 0.03008932 against the package 0.03008903 — a deviation of 2.9×10</text>
      <text>-7</text>
      <text>, i.e., at the level of the ladder’s own residual; the triplet orders p_eff = 1.948/1.974/1.987 are reproduced exactly. The full OLS intercept Δ</text>
      <text>cont</text>
      <text> ≈ 0.523732 differs from the package two-parameter fit by 2.7×10</text>
      <text>-4</text>
      <text> — a vivid illustration of why the package refuses to claim the continuum on a pre-asymptotic ladder.</text>
    </w:p>
    <w:p>
      <w:pPr>
        <w:spacing w:after="80" w:line="360"/>
        <w:ind w:firstLine="709"/>
        <w:jc w:val="both"/>
      </w:pPr>
      <text>(T-B) Fine η-scan.</text>
      <text> The barrier B(η) = B</text>
      <text>0</text>
      <text> − 2η on 2001 points — the OPEN/CLOSED boundary lands on η</text>
      <text>crit</text>
      <text> = 0.0908885 with a deviation of exactly 0 (the first closed grid point coincides with the threshold). </text>
      <text>(T-C) C5 statistics.</text>
      <text> A binomial test of 2433/10000 against p = 0.2433: z = 0, two-sided p = 1.0; the Wilson 95 % interval [0.2350, 0.2518]; the binomial error reproduced to the last digit (0.004290747137737203). </text>
      <text>(T-D) The C8 bootstrap ratio.</text>
      <text> bias/boot_se = 0.3749 — the package formulation “0.38·boot_se” confirmed. </text>
      <text>(T-E) Digit stability of the margin.</text>
      <text> Raising the precision 30→50→100→150 dps keeps the leading digits of the margin stable (30, 51, 100 matches) — the package numbers do not “drift”. </text>
      <text>(T-F) The second C9 falsifier.</text>
      <text> The flank extrapolator root 2.96608108 gives a threshold ratio of 6.4822425912884 — matching the package to 2.7×10</text>
      <text>-15</text>
      <text>.</text>
    </w:p>
    <w:p>
      <w:pPr>
        <w:keepNext/>
        <w:spacing w:after="40" w:before="16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124200"/>
                    </a:xfrm>
                    <a:prstGeom prst="rect">
                      <a:avLst/>
                    </a:prstGeom>
                  </pic:spPr>
                </pic:pic>
              </a:graphicData>
            </a:graphic>
          </wp:inline>
        </w:drawing>
      </w:r>
    </w:p>
    <w:p>
      <w:pPr>
        <w:spacing w:after="200" w:before="60" w:line="300"/>
        <w:jc w:val="center"/>
      </w:pPr>
      <text>Fig. 11.2. The valley law and both naive-window falsifiers: β_c = 2.9910 (6.3× threshold) and the second extrapolator 2.96608 (6.48×).</text>
    </w:p>
    <w:p>
      <w:pPr>
        <w:keepNext/>
        <w:spacing w:after="4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90850"/>
                    </a:xfrm>
                    <a:prstGeom prst="rect">
                      <a:avLst/>
                    </a:prstGeom>
                  </pic:spPr>
                </pic:pic>
              </a:graphicData>
            </a:graphic>
          </wp:inline>
        </w:drawing>
      </w:r>
    </w:p>
    <w:p>
      <w:pPr>
        <w:spacing w:after="200" w:before="60" w:line="300"/>
        <w:jc w:val="center"/>
      </w:pPr>
      <text>Fig. 11.3. Fine η-scan of the closure barrier: the boundary passes exactly through η_crit; the cosmological η_B is invisible at scale.</text>
    </w:p>
    <w:p>
      <w:pPr>
        <w:keepNext/>
        <w:spacing w:after="4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990850"/>
                    </a:xfrm>
                    <a:prstGeom prst="rect">
                      <a:avLst/>
                    </a:prstGeom>
                  </pic:spPr>
                </pic:pic>
              </a:graphicData>
            </a:graphic>
          </wp:inline>
        </w:drawing>
      </w:r>
    </w:p>
    <w:p>
      <w:pPr>
        <w:spacing w:after="200" w:before="60" w:line="300"/>
        <w:jc w:val="center"/>
      </w:pPr>
      <text>Fig. 11.4. The drift law: an independent refit of the ladder C·h</text>
      <text>2</text>
      <text> reproduces the package estimate C within the residual.</text>
    </w:p>
    <w:p>
      <w:pPr>
        <w:keepNext/>
        <w:spacing w:after="4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990850"/>
                    </a:xfrm>
                    <a:prstGeom prst="rect">
                      <a:avLst/>
                    </a:prstGeom>
                  </pic:spPr>
                </pic:pic>
              </a:graphicData>
            </a:graphic>
          </wp:inline>
        </w:drawing>
      </w:r>
    </w:p>
    <w:p>
      <w:pPr>
        <w:spacing w:after="200" w:before="60" w:line="300"/>
        <w:jc w:val="center"/>
      </w:pPr>
      <text>Fig. 11.5. C5: the pinned Monte Carlo 2433/10000 against the analytic binomial density; the 95 % Wilson interval.</text>
    </w:p>
    <w:p>
      <w:pPr>
        <w:keepNext/>
        <w:spacing w:after="40" w:before="16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14675"/>
                    </a:xfrm>
                    <a:prstGeom prst="rect">
                      <a:avLst/>
                    </a:prstGeom>
                  </pic:spPr>
                </pic:pic>
              </a:graphicData>
            </a:graphic>
          </wp:inline>
        </w:drawing>
      </w:r>
    </w:p>
    <w:p>
      <w:pPr>
        <w:spacing w:after="200" w:before="60" w:line="300"/>
        <w:jc w:val="center"/>
      </w:pPr>
      <text>Fig. 11.6. Digit stability of the lock margin: leading digits stable as precision increases.</text>
    </w:p>
    <w:p>
      <w:pPr>
        <w:pStyle w:val="Heading2"/>
        <w:spacing w:after="120" w:before="300" w:line="380" w:lineRule="atLeast"/>
      </w:pPr>
      <w:bookmarkStart w:id="100038" w:name="_Toc100038"/>
      <w:r>
        <w:rPr>
          <w:rFonts w:ascii="Times New Roman" w:eastAsia="Times New Roman" w:hAnsi="Times New Roman"/>
          <w:b/>
          <w:bCs/>
          <w:color w:val="1A1A1A"/>
          <w:sz w:val="28"/>
          <w:szCs w:val="28"/>
        </w:rPr>
        <w:t xml:space="preserve">11.4. Documentation audit</w:t>
      </w:r>
      <w:bookmarkEnd w:id="100038"/>
    </w:p>
    <w:p>
      <w:pPr>
        <w:spacing w:after="80" w:line="360"/>
        <w:ind w:firstLine="709"/>
        <w:jc w:val="both"/>
      </w:pPr>
      <text>A separate pass compared the prose of the documentation against the machine verdict files. Six discrepancies were found, all resolved in favor of the verdict canon. (1) In v1.2.0 the methods and validation prose cites a maximum Wu-shape deviation of 3.3×10</text>
      <text>-4</text>
      <text>, whereas the verdict and the summary give 2.4904×10</text>
      <text>-3</text>
      <text>. (2) The summary line “twins 13/13” is stale: with the fourteenth check added (the vortex Lagrange frequency) it is 14/14 everywhere. (3) The validation prose lost a sign in the exponent “x ~ 1e9”: the verdict gives x = 1.3556×10</text>
      <text>-9</text>
      <text> — a freeze threshold, not a multiplier. (4) The docstring of qhb/gap.py says Ω</text>
      <text>0</text>
      <text> = 1, while the committed convention of methods is Ω</text>
      <text>0</text>
      <text> = 2. (5) The docstring of qhb/__init__.py in v1.3.0 mentions “29 claims” — a legacy of the previous version; the registry holds 30. (6) The P</text>
      <text>esc</text>
      <text> uncertainty: ±0.0248 in v1.2.0 (engine ensemble N = 300) versus ±0.0043 in v1.3.0 (Monte Carlo N = 10</text>
      <text>4</text>
      <text>) — not a contradiction but different samples, and the monograph records both contexts. All six points were resolved in favor of the machine canon — the same procedure the package itself practiced at audit IVP-05 (“the audit fixes itself first”).</text>
    </w:p>
    <w:p>
      <w:pPr>
        <w:pStyle w:val="Heading1"/>
        <w:pBdr>
          <w:bottom w:val="single" w:color="C9A84C" w:sz="6" w:space="4"/>
        </w:pBdr>
        <w:spacing w:after="160" w:before="400" w:line="400" w:lineRule="atLeast"/>
        <w:jc w:val="left"/>
      </w:pPr>
      <w:bookmarkStart w:id="100039" w:name="_Toc100039"/>
      <w:r>
        <w:rPr>
          <w:rFonts w:ascii="Times New Roman" w:eastAsia="Times New Roman" w:hAnsi="Times New Roman"/>
          <w:b/>
          <w:bCs/>
          <w:color w:val="1A1A1A"/>
          <w:sz w:val="32"/>
          <w:szCs w:val="32"/>
        </w:rPr>
        <w:t xml:space="preserve">Chapter 12. Master Table of Key Numbers</w:t>
      </w:r>
      <w:bookmarkEnd w:id="100039"/>
    </w:p>
    <w:p>
      <w:pPr>
        <w:spacing w:after="80" w:line="360"/>
        <w:ind w:firstLine="709"/>
        <w:jc w:val="both"/>
      </w:pPr>
      <text>This chapter is the portable card of the package: all key numbers in one table with source addresses. It is meant for citation: if external work uses a number from QHB, the reference goes to the package version and the row of this table.</text>
    </w:p>
    <w:p>
      <w:pPr>
        <w:keepNext/>
        <w:spacing w:after="80" w:before="200"/>
        <w:jc w:val="center"/>
      </w:pPr>
      <text>Table 12.1. Master table of QHB key numbers (canon v1.3.0 + gap-layer values unique to v1.2.0)</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N</text>
          </w:p>
        </w:tc>
        <w:tc>
          <w:tcPr>
            <w:tcW w:type="pct" w:w="4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Quantity</text>
          </w:p>
        </w:tc>
        <w:tc>
          <w:tcPr>
            <w:tcW w:type="pct" w:w="3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Value</text>
          </w:p>
        </w:tc>
        <w:tc>
          <w:tcPr>
            <w:tcW w:type="pct" w:w="2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Source</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Static gap Δ</text>
            <text>0</text>
            <text> (N = 64, committed geometry)</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0.523004556028</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Response s = dΔ/dq_pk</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−1.00398294</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Gap law B</text>
            <text>2</text>
            <text>; r</text>
            <text>2</text>
            <text> (window [0, 0.2])</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−5.49670294×10</text>
            <text>-2</text>
            <text>; 0.99999982</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Sector hierarchy |B</text>
            <text>2</text>
            <text>_A|:|B</text>
            <text>2</text>
            <text>_B|:|B</text>
            <text>2</text>
            <text>_C|</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−5.05×10</text>
            <text>-2</text>
            <text> : −4.40×10</text>
            <text>-3</text>
            <text> : −2.71×10</text>
            <text>-5</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Valley bottom β*</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3.3583</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Minimum gap Δ_F,min</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0.181777</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7</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threshold Δ_thresh</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0.03634845261904761</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N3</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 grid minimum (β, L) = (3.45625, 6)</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0.174490</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 map minimum</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0.124449</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Naive closure point β_c (falsified)</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2.9910; gap 6.3× threshold</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11</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Second extrapolator (flank [3.6, 4.0])</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root 2.96608; ratio 6.48</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String tension σ*</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0.25; recovery &lt; 10</text>
            <text>-16</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C2</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Spin corrections</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π</text>
            <text>2</text>
            <text>/8 = 1.2337005501…; π</text>
            <text>5</text>
            <text>/704 = 0.4346870522…</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C3/T3</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T_c correction at β*</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+11.280569950484875 %</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C3</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15</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QCD contact M_QCD (T_H = 155.16 MeV)</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6.8140×10</text>
            <text>10</text>
            <text> kg (comparison)</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bridge</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16</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CMB contact (inherited)</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4.5016×10</text>
            <text>22</text>
            <text> kg</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bridge</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17</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Mapped gap quantum E_gap</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81.1 MeV; window 4.09 (comparison)</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C6 v1.1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18</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tail: upper bound 95 %</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3.48×10</text>
            <text>-4</text>
            <text> (unresolved)</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C4</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19</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Drift law C = (Δ_cont − Δ_N)/h</text>
            <text>2</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+3.0089×10</text>
            <text>-2</text>
            <text>; p_eff 1.948→1.987</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C5 v1.1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20</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channel s·κ/8; share</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−6.2749×10</text>
            <text>-3</text>
            <text>; −0.209</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C5 v1.1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21</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P_esc of the free trio</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0.2433 ± 0.0043 (2433/10000)</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C5</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22</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Lyapunov (medians) free / trapped</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0.2615 / 0.2885</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C2/C5</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23</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E_Y,min of the equilateral Y-string</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0.4330127018922193</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C6</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WKB action S(0); transparency T(0)</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13.856406460551018; 9.21×10</text>
            <text>-13</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C7</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25</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Open-window boundary</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 &lt; 0.0059057</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C7</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26</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Bootstrap: bias / boot_se</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0.0046436 / 0.0123862 (= 0.375·se)</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C8</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27</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Jackknife bias</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0.0015551</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C8</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28</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Vortex frequency ω = 3/(2π)</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0.4774648292756860…</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N1/C11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29</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Rotation rigidity; ω deviation</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1.5×10</text>
            <text>-14</text>
            <text>; 2.3×10</text>
            <text>-15</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30</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Aref: r_max; bound 2√I</text>
            <text>0</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2.765441793943165; 4.50761124732304</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31</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Static barrier V*</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0.9359375; 0/300 escapes</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32</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Energy pumping by the oscillating wall</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median |dE| = 0.146</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C11</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33</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Shares A/B/C</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91.95 / 8.00 / 0.049 %</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Additivity (max cross-share)</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1.3×10</text>
            <text>-4</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35</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Out-of-window residual power</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4.071</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36</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Closure threshold η_crit</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0.0908885 = Δ_F,min/2</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C12/T14</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37</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Margin = η_crit/η_B</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148997540.98 (= 9 088 850 000/61); log</text>
            <text>10</text>
            <text> = 8.173</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38</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Filling at η_B / at η = 0.5</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 wells over 10</text>
            <text>6</text>
            <text> steps / 100 of 200 over 2×10</text>
            <text>5</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39</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log</text>
            <text>10</text>
            <text> T(0); nugget bound at N ~ 10</text>
            <text>30</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−12.035521729651752; &lt; 10^(−1.2×10</text>
            <text>31</text>
            <text>)</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T15</text>
          </w:p>
        </w:tc>
      </w:tr>
      <w:tr>
        <w:trPr>
          <w:cantSplit/>
        </w:trPr>
        <w:tc>
          <w:tcPr>
            <w:tcW w:type="pct" w:w="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40</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Audit IVP-12; tests; twins</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12/12 PASS; 100+ pytest; 14/14 × 3</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audit</text>
          </w:p>
        </w:tc>
      </w:tr>
    </w:tbl>
    <w:p>
      <w:pPr>
        <w:spacing w:after="160"/>
      </w:pPr>
    </w:p>
    <w:p>
      <w:pPr>
        <w:pStyle w:val="Heading1"/>
        <w:pBdr>
          <w:bottom w:val="single" w:color="C9A84C" w:sz="6" w:space="4"/>
        </w:pBdr>
        <w:spacing w:after="160" w:before="400" w:line="400" w:lineRule="atLeast"/>
        <w:jc w:val="left"/>
      </w:pPr>
      <w:bookmarkStart w:id="100040" w:name="_Toc100040"/>
      <w:r>
        <w:rPr>
          <w:rFonts w:ascii="Times New Roman" w:eastAsia="Times New Roman" w:hAnsi="Times New Roman"/>
          <w:b/>
          <w:bCs/>
          <w:color w:val="1A1A1A"/>
          <w:sz w:val="32"/>
          <w:szCs w:val="32"/>
        </w:rPr>
        <w:t xml:space="preserve">Chapter 13. Roadmap and Future Work</w:t>
      </w:r>
      <w:bookmarkEnd w:id="100040"/>
    </w:p>
    <w:p>
      <w:pPr>
        <w:spacing w:after="80" w:line="360"/>
        <w:ind w:firstLine="709"/>
        <w:jc w:val="both"/>
      </w:pPr>
      <text>The package roadmap follows the “falsifier first” principle: every next item starts not with a promise of confirmation but with a description of which observation would refute the current claim. Below are the five candidates recorded in the package roadmap, plus two directions opened by this monolithic edition (formalization and cross-tool verification).</text>
    </w:p>
    <w:p>
      <w:pPr>
        <w:keepNext/>
        <w:spacing w:after="80" w:before="200"/>
        <w:jc w:val="center"/>
      </w:pPr>
      <text>Table 13.1. Roadmap: candidates and their falsifiers</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9%"/>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Code</text>
          </w:p>
        </w:tc>
        <w:tc>
          <w:tcPr>
            <w:tcW w:type="pct" w:w="3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Direction</text>
          </w:p>
        </w:tc>
        <w:tc>
          <w:tcPr>
            <w:tcW w:type="pct" w:w="3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What is verified</text>
          </w:p>
        </w:tc>
        <w:tc>
          <w:tcPr>
            <w:tcW w:type="pct" w:w="29%"/>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Falsifier / criterion</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R1</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Continuum stress</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Volumes beyond L = 32; an honest 1/L-convergence check of Δ_F</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convergence not 1/L or the gap runs to zero</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R2</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Anisotropic vortices</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Unequal circulations in the C11 anchor</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splitting of the ±iω pair with |Re| &gt; 0</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R3</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Temperature asymmetry</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η(T) near the bridge temperature: does the lock survive</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η-map closing under thermal activation</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R4</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 tail shape</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Resolution of the tail beyond E_max</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only with a justified resolution-improvement model</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R5</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External comparison</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Table of nugget-search bounds with proper citations</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nugget above the comparison bound</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R6</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Lean 4 formalization</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Translating the sorry scaffold (Appendix A) into full proofs</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T14/T13 inequality not provable in Mathlib</text>
          </w:p>
        </w:tc>
      </w:tr>
      <w:tr>
        <w:trPr>
          <w:cantSplit/>
        </w:trPr>
        <w:tc>
          <w:tcPr>
            <w:tcW w:type="pct" w:w="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R7</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Cross-tool twin network</text>
          </w:p>
        </w:tc>
        <w:tc>
          <w:tcPr>
            <w:tcW w:type="pct" w:w="3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Go/Rust/Julia twins: verifying sources to 14/14</text>
          </w:p>
        </w:tc>
        <w:tc>
          <w:tcPr>
            <w:tcW w:type="pct" w:w="2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reference_output mismatch</text>
          </w:p>
        </w:tc>
      </w:tr>
    </w:tbl>
    <w:p>
      <w:pPr>
        <w:spacing w:after="160"/>
      </w:pPr>
    </w:p>
    <w:p>
      <w:pPr>
        <w:spacing w:after="80" w:line="360"/>
        <w:ind w:firstLine="709"/>
        <w:jc w:val="both"/>
      </w:pPr>
      <text>The priority of R1 is economic: the continuum hypothesis is the only one without a numerical answer, and extending the volume ladder (L = 48, 64, 96) while keeping the honest protocol is the cheapest way to either strengthen or destroy HYPO-CONT. R2 and R3 test the robustness of the anchor and the lock: both results (the spectrum {0, 0, ±iω, ±iω} and the 2η threshold) were derived in symmetric configurations, and asymmetry is their natural enemy. R6 is the path along which this edition has already taken the first step: the Lean 4 scaffold fixes the statements so that turning them into proofs becomes a measurable engineering task.</text>
    </w:p>
    <w:p>
      <w:pPr>
        <w:spacing w:after="80" w:line="360"/>
        <w:ind w:firstLine="709"/>
        <w:jc w:val="both"/>
      </w:pPr>
      <text>Execution status (edition v2.1.0): all five numerical candidates R1–R5 have been executed, and both infrastructure items advanced — R6 grew the scaffold from two to seven closed kernels, R7 re-confirmed the JS/C/C++ twins at 14/14 byte-for-byte and ran a static audit of Go/Rust/Julia. None of the five falsifiers fired; the execution produced four new exact results (the closed branch laws of the vortex spectrum, the opposite-circulation threshold γ* = 0.5, the linear thermal boundary of the lock with its death temperature T_death = 0.003414, and the detector resolution threshold f_crit = 0.1929) and eight new predictions with falsifiers. The full account is chapter 14; the table above is preserved with the original wording and falsifiers as a historical record of intent. Edition v2.2.0 has closed the two remaining candidates as well: the analytic proof of the R2 branch laws is executed in chapter 15 (theorem T19 with an exact symbolic factorization and the circulation dispersion law), the cosmological cooling scenario of R3 in chapter 16 (the deadline, the survival integral, the stall cliff, two Monte Carlo runs); the methodological ladder layer of chapter 17. Edition v2.3.0 added the infrastructure floor: the full port of T19 into Mathlib (eight closed kernels on top of Matrix.charpoly), the sign fix and closure of the T20.stall kernel (erratum: τ_max strictly decreases in T), the closure of T20.deadline, Iron-QA tools with Lean/Mathlib CI verification, and the extension of the external arena to X1–X13.</text>
    </w:p>
    <w:p>
      <w:pPr>
        <w:pStyle w:val="Heading1"/>
        <w:pBdr>
          <w:bottom w:val="single" w:color="C9A84C" w:sz="6" w:space="4"/>
        </w:pBdr>
        <w:spacing w:after="160" w:before="400" w:line="400" w:lineRule="atLeast"/>
        <w:jc w:val="left"/>
      </w:pPr>
      <w:bookmarkStart w:id="100041" w:name="_Toc100041"/>
      <w:r>
        <w:rPr>
          <w:rFonts w:ascii="Times New Roman" w:eastAsia="Times New Roman" w:hAnsi="Times New Roman"/>
          <w:b/>
          <w:bCs/>
          <w:color w:val="1A1A1A"/>
          <w:sz w:val="32"/>
          <w:szCs w:val="32"/>
        </w:rPr>
        <w:t xml:space="preserve">Conclusion</w:t>
      </w:r>
      <w:bookmarkEnd w:id="100041"/>
    </w:p>
    <w:p>
      <w:pPr>
        <w:spacing w:after="80" w:line="360"/>
        <w:ind w:firstLine="709"/>
        <w:jc w:val="both"/>
      </w:pPr>
      <text>The monolithic edition merges both package builds into a single text and a single story: twelve campaigns, fifteen theorems, thirty claims, twelve audit passes, one hundred digits of precision and six honest negatives — all byte-for-byte reproducible and all equipped with a falsifier. What is proven in the model: the gap is positive over the whole swept region and does not close; the spin corrections are exactly π</text>
      <text>2</text>
      <text>/8 and π</text>
      <text>5</text>
      <text>/704; the Y-string vertex is the Fermat point; the vortex spectrum is neutrally stable; the worst-case barrier loss is exactly 2η. What is measured: the Wilson and temperature laws, the escape probability of the free trio, the Aref boundedness, the static barrier, the stability of the valley bottom. What remains a hypothesis: the continuum limit — and only it.</text>
    </w:p>
    <w:p>
      <w:pPr>
        <w:spacing w:after="80" w:line="360"/>
        <w:ind w:firstLine="709"/>
        <w:jc w:val="both"/>
      </w:pPr>
      <text>The additional research of this edition added its own layer of confidence: the cross-version audit showed that the numeric canon of the two builds agrees within double precision; the independent re-verification reproduced all exact constants at one hundred digits; the six new tests — from the fine η-scan to the binomial statistics of C5 — passed without a single mismatch. The documentation audit found six discrepancies between prose and machine canon and resolved them in favor of the verdicts — the procedure the package has practiced on itself since the first audit.</text>
    </w:p>
    <w:p>
      <w:pPr>
        <w:spacing w:after="80" w:line="360"/>
        <w:ind w:firstLine="709"/>
        <w:jc w:val="both"/>
      </w:pPr>
      <text>The value of the program is not that it “proved confinement”; it did not, and does not claim to. The value is the demonstrated standard: a toy model may be as toy as it likes, but its claims must be machine-checkable, its negatives published, its numbers addressable, and its language kept separate from the language of physics. In the landscape of the mass-gap problem, where analytic progress runs into a Millennium Problem, such a standard is an independent result. The bridge is built not to the other shore but to the point from which the other shore is visible; the roadmap of chapter 13 is the plan for the next spans.</text>
    </w:p>
    <w:p>
      <w:pPr>
        <w:spacing w:after="80" w:line="360"/>
        <w:ind w:firstLine="709"/>
        <w:jc w:val="both"/>
      </w:pPr>
      <text>Edition v2.1.0 turned the roadmap from a plan into an execution protocol. The falsifier-first test went through all five numerical items without a single firing — and it is precisely this flawlessness that gave the edition its new results: the volume ladder closed the gap law with a residual of 2×10</text>
      <text>-16</text>
      <text> and an order of exactly one; vortex anisotropy revealed the closed branch laws ν_tr = (2+γ)/2π and ν_int = √(3(1+2γ))/2π with the Synge threshold γ* = 0.5; the thermal stress made the lock boundary linear in T and assigned it a death temperature T_death ≈ T_c/26 — a new honesty condition for a cold gap sector; the resolution stress confirmed the invulnerability of negative T5 and issued a numerical specification to the detector, f_crit = 0.1929. The formalization grew to seven closed kernels, the twins were re-verified byte-for-byte, and the external search bounds were compiled into an addressable table. The bridge remained honest — and became longer.</text>
    </w:p>
    <w:p>
      <w:pPr>
        <w:spacing w:after="80" w:line="360"/>
        <w:ind w:firstLine="709"/>
        <w:jc w:val="both"/>
      </w:pPr>
      <text>Edition v2.2.0 turned the two remaining roadmap items from promises into results and added a methodological floor. The branch laws of the vortex spectrum no longer "landed on a curve" — they are proved: the co-rotating operator factorizes in closed form, the difference of the squared branches equals exactly the squared deviation of the circulations from symmetry, the Synge threshold became a sign corollary, and the zero pair turned out to be nonsemisimple. The cosmology of the cold sector converted the honest condition T_death into dynamic deadlines: the sector must decouple and cool, no budget buys warmth, and the danger is concentrated at the hot end — a reversal of intuition confirmed by Monte Carlo. Five convergence ladders measured the distance from every number of the monograph to its infinite limit — from the fourth-order solver to the slowest ladder of the package, 1/ln N. the proof, the scenario and the ladders share one principle: honesty has an exact form, and it can be verified by machine.</text>
    </w:p>
    <w:p>
      <w:pPr>
        <w:spacing w:after="80" w:line="360"/>
        <w:ind w:firstLine="709"/>
        <w:jc w:val="both"/>
      </w:pPr>
      <text>Edition v2.3.0 closes the loop of open reproducibility. The proof of T19 now lives not only on paper and in SymPy but in Mathlib: the reduced operator is assembled from the blocks of Lemmas B and C, the characteristic polynomials are computed by the standard library, and the axiom audit confirms that all eighteen closed kernels are sorry-free. Honesty again proved stronger than beauty: the sign of the stall-cliff monotonicity was corrected by an erratum rather than hushed up — and the corrected kernel joined the proof layer. The external arena grew to X1–X13 with confirmation addresses from 2024–2026, and the iron layer of Iron-QA (four static gates, Python and Lean/Mathlib CI, release checksums) turns the honesty discipline from a promise into an executable contract: any hand that corrupts a number in the prose now fails the build before it reaches the reader.</text>
    </w:p>
    <w:p>
      <w:pPr>
        <w:pStyle w:val="Heading1"/>
        <w:pBdr>
          <w:bottom w:val="single" w:color="C9A84C" w:sz="6" w:space="4"/>
        </w:pBdr>
        <w:spacing w:after="160" w:before="400" w:line="400" w:lineRule="atLeast"/>
        <w:jc w:val="left"/>
      </w:pPr>
      <w:bookmarkStart w:id="100042" w:name="_Toc100042"/>
      <w:r>
        <w:rPr>
          <w:rFonts w:ascii="Times New Roman" w:eastAsia="Times New Roman" w:hAnsi="Times New Roman"/>
          <w:b/>
          <w:bCs/>
          <w:color w:val="1A1A1A"/>
          <w:sz w:val="32"/>
          <w:szCs w:val="32"/>
        </w:rPr>
        <w:t xml:space="preserve">References</w:t>
      </w:r>
      <w:bookmarkEnd w:id="100042"/>
    </w:p>
    <w:p>
      <w:pPr>
        <w:spacing w:after="60" w:line="320"/>
        <w:ind w:left="454" w:hanging="454"/>
        <w:jc w:val="left"/>
      </w:pPr>
      <text>[1] Yang C. N., Mills R. L. Conservation of isotopic spin and isotopic gauge invariance // Phys. Rev. 96 (1954) 191–195.</text>
    </w:p>
    <w:p>
      <w:pPr>
        <w:spacing w:after="60" w:line="320"/>
        <w:ind w:left="454" w:hanging="454"/>
        <w:jc w:val="left"/>
      </w:pPr>
      <text>[2] Clay Mathematics Institute. Millennium Prize Problems: Yang–Mills Existence and Mass Gap. Official problem description by A. Jaffe and E. Witten (2000).</text>
    </w:p>
    <w:p>
      <w:pPr>
        <w:spacing w:after="60" w:line="320"/>
        <w:ind w:left="454" w:hanging="454"/>
        <w:jc w:val="left"/>
      </w:pPr>
      <text>[3] Wilson K. G. Confinement of quarks // Phys. Rev. D 10 (1974) 2445–2459.</text>
    </w:p>
    <w:p>
      <w:pPr>
        <w:spacing w:after="60" w:line="320"/>
        <w:ind w:left="454" w:hanging="454"/>
        <w:jc w:val="left"/>
      </w:pPr>
      <text>[4] Kirchhoff G. Vorlesungen über mathematische Physik. Bd. I: Mechanik. Leipzig: Teubner, 1876.</text>
    </w:p>
    <w:p>
      <w:pPr>
        <w:spacing w:after="60" w:line="320"/>
        <w:ind w:left="454" w:hanging="454"/>
        <w:jc w:val="left"/>
      </w:pPr>
      <text>[5] Aref H. Motion of three vortices // Phys. Fluids 22 (1979) 393–400.</text>
    </w:p>
    <w:p>
      <w:pPr>
        <w:spacing w:after="60" w:line="320"/>
        <w:ind w:left="454" w:hanging="454"/>
        <w:jc w:val="left"/>
      </w:pPr>
      <text>[6] Wu C. S., Ambler E., Hayward R. W., Hoppes D. D., Hudson R. P. Experimental test of parity conservation in beta decay // Phys. Rev. 105 (1957) 1413–1415.</text>
    </w:p>
    <w:p>
      <w:pPr>
        <w:spacing w:after="60" w:line="320"/>
        <w:ind w:left="454" w:hanging="454"/>
        <w:jc w:val="left"/>
      </w:pPr>
      <text>[7] Gascheau G. Examen d'une question de mécanique céleste // J. Math. Pures Appl. 8 (1843) 273–342.</text>
    </w:p>
    <w:p>
      <w:pPr>
        <w:spacing w:after="60" w:line="320"/>
        <w:ind w:left="454" w:hanging="454"/>
        <w:jc w:val="left"/>
      </w:pPr>
      <text>[8] Planck Collaboration. Planck 2018 results. VI. Cosmological parameters // Astron. Astrophys. 641 (2020) A6.</text>
    </w:p>
    <w:p>
      <w:pPr>
        <w:spacing w:after="60" w:line="320"/>
        <w:ind w:left="454" w:hanging="454"/>
        <w:jc w:val="left"/>
      </w:pPr>
      <text>[9] Fermat P. de. Œuvres (minimal property of the Fermat point); modern exposition: Courant R., Robbins H. What Is Mathematics? Oxford Univ. Press, 1941.</text>
    </w:p>
    <w:p>
      <w:pPr>
        <w:spacing w:after="60" w:line="320"/>
        <w:ind w:left="454" w:hanging="454"/>
        <w:jc w:val="left"/>
      </w:pPr>
      <text>[10] Isaac Isaev. Collapse–Hawking Bridge (CHB) v2.1.0: the parent package of the program. 2026.</text>
    </w:p>
    <w:p>
      <w:pPr>
        <w:spacing w:after="60" w:line="320"/>
        <w:ind w:left="454" w:hanging="454"/>
        <w:jc w:val="left"/>
      </w:pPr>
      <text>[11] Isaac Isaev, wild8highlander. Quark–Hawking Bridge v1.2.0: evidence block C9–C11 + Evidence Engine. 2026.</text>
    </w:p>
    <w:p>
      <w:pPr>
        <w:spacing w:after="60" w:line="320"/>
        <w:ind w:left="454" w:hanging="454"/>
        <w:jc w:val="left"/>
      </w:pPr>
      <text>[12] Isaac Isaev, wild8highlander. Quark–Hawking Bridge v1.3.0: Asymmetry Lock. 2026.</text>
    </w:p>
    <w:p>
      <w:pPr>
        <w:spacing w:after="60" w:line="320"/>
        <w:ind w:left="454" w:hanging="454"/>
        <w:jc w:val="left"/>
      </w:pPr>
      <text>[13] de Moura L. et al. The Lean 4 theorem prover and programming language. Lean FRO, 2023–.</text>
    </w:p>
    <w:p>
      <w:pPr>
        <w:spacing w:after="60" w:line="320"/>
        <w:ind w:left="454" w:hanging="454"/>
        <w:jc w:val="left"/>
      </w:pPr>
      <text>[14] The Mathlib Community. The Lean mathematical library. arXiv:1910.09336.</text>
    </w:p>
    <w:p>
      <w:pPr>
        <w:spacing w:after="60" w:line="320"/>
        <w:ind w:left="454" w:hanging="454"/>
        <w:jc w:val="left"/>
      </w:pPr>
      <text>[15] De Rújula A., Glashow S. L. Nuclearites: a novel form of cosmic radiation // Nature 312 (1984) 734–737.</text>
    </w:p>
    <w:p>
      <w:pPr>
        <w:spacing w:after="60" w:line="320"/>
        <w:ind w:left="454" w:hanging="454"/>
        <w:jc w:val="left"/>
      </w:pPr>
      <text>[16] MACRO Collaboration (V. Popa et al.). Search for nuclearites with the MACRO detector at Gran Sasso // Proc. 25th Int. Cosmic Ray Conf. (1997).</text>
    </w:p>
    <w:p>
      <w:pPr>
        <w:spacing w:after="60" w:line="320"/>
        <w:ind w:left="454" w:hanging="454"/>
        <w:jc w:val="left"/>
      </w:pPr>
      <text>[17] Piotrowski L. W. et al. Limits on the flux of nuclearites and other heavy compact objects // Phys. Rev. D 102 (2020).</text>
    </w:p>
    <w:p>
      <w:pPr>
        <w:spacing w:after="60" w:line="320"/>
        <w:ind w:left="454" w:hanging="454"/>
        <w:jc w:val="left"/>
      </w:pPr>
      <text>[18] Albert A. et al. (ANTARES Collaboration). Limits on the nuclearite flux using the ANTARES neutrino telescope. 2023.</text>
    </w:p>
    <w:p>
      <w:pPr>
        <w:spacing w:after="60" w:line="320"/>
        <w:ind w:left="454" w:hanging="454"/>
        <w:jc w:val="left"/>
      </w:pPr>
      <text>[19] Armstrong T. A. et al. (E864 Collaboration). Search for strange quark matter // Phys. Rev. Lett. 79 (1997).</text>
    </w:p>
    <w:p>
      <w:pPr>
        <w:spacing w:after="60" w:line="320"/>
        <w:ind w:left="454" w:hanging="454"/>
        <w:jc w:val="left"/>
      </w:pPr>
      <text>[20] Abelev B. I. et al. (STAR Collaboration). Strangelet search in Au+Au collisions at √s_NN = 200 GeV // Phys. Rev. C (2007).</text>
    </w:p>
    <w:p>
      <w:pPr>
        <w:spacing w:after="60" w:line="320"/>
        <w:ind w:left="454" w:hanging="454"/>
        <w:jc w:val="left"/>
      </w:pPr>
      <text>[21] Alcaraz J. et al. (AMS Collaboration). Search for strange quark matter with the AMS experiment // Phys. Lett. B 490 (2000) 27–35.</text>
    </w:p>
    <w:p>
      <w:pPr>
        <w:spacing w:after="60" w:line="320"/>
        <w:ind w:left="454" w:hanging="454"/>
        <w:jc w:val="left"/>
      </w:pPr>
      <text>[22] Synge J. L. On the motion of three vortices // Canad. J. Res. A 27 (1949) 1–24.</text>
    </w:p>
    <w:p>
      <w:pPr>
        <w:spacing w:after="60" w:line="320"/>
        <w:ind w:left="454" w:hanging="454"/>
        <w:jc w:val="left"/>
      </w:pPr>
      <text>[23] Newton P. K. The N-Vortex Problem: Analytical Techniques. Springer, 2001.</text>
    </w:p>
    <w:p>
      <w:pPr>
        <w:spacing w:after="60" w:line="320"/>
        <w:ind w:left="454" w:hanging="454"/>
        <w:jc w:val="left"/>
      </w:pPr>
      <text>[24] Richardson L. F. The approximate arithmetical solution by finite differences // Phil. Trans. R. Soc. A 226 (1927) 299–349.</text>
    </w:p>
    <w:p>
      <w:pPr>
        <w:spacing w:after="60" w:line="320"/>
        <w:ind w:left="454" w:hanging="454"/>
        <w:jc w:val="left"/>
      </w:pPr>
      <text>[25] Picker Z. S. C. Macroscopic dark matter constraints for extended mass distribution. arXiv, 2026.</text>
    </w:p>
    <w:p>
      <w:pPr>
        <w:spacing w:after="60" w:line="320"/>
        <w:ind w:left="454" w:hanging="454"/>
        <w:jc w:val="left"/>
      </w:pPr>
      <text>[26] Croon D. et al. Repository for extended dark matter object constraints. 2024.</text>
    </w:p>
    <w:p>
      <w:pPr>
        <w:spacing w:after="60" w:line="320"/>
        <w:ind w:left="454" w:hanging="454"/>
        <w:jc w:val="left"/>
      </w:pPr>
      <text>[27] Bianchi M. et al. Search for Strange Quark Matter and Nuclearites on Board the International Space Station (SQM-ISS) // Instruments (MDPI), 2024.</text>
    </w:p>
    <w:p>
      <w:pPr>
        <w:spacing w:after="60" w:line="320"/>
        <w:ind w:left="454" w:hanging="454"/>
        <w:jc w:val="left"/>
      </w:pPr>
      <text>[28] Häußler J. et al. (IceCube Collaboration). Search for Sub-Relativistic Magnetic Monopoles. PoS(ICRC2025), 2025.</text>
    </w:p>
    <w:p>
      <w:pPr>
        <w:pStyle w:val="Heading1"/>
        <w:pBdr>
          <w:bottom w:val="single" w:color="C9A84C" w:sz="6" w:space="4"/>
        </w:pBdr>
        <w:spacing w:after="160" w:before="400" w:line="400" w:lineRule="atLeast"/>
        <w:jc w:val="left"/>
      </w:pPr>
      <w:bookmarkStart w:id="100043" w:name="_Toc100043"/>
      <w:r>
        <w:rPr>
          <w:rFonts w:ascii="Times New Roman" w:eastAsia="Times New Roman" w:hAnsi="Times New Roman"/>
          <w:b/>
          <w:bCs/>
          <w:color w:val="1A1A1A"/>
          <w:sz w:val="32"/>
          <w:szCs w:val="32"/>
        </w:rPr>
        <w:t xml:space="preserve">Appendix A. Lean 4 Formalization</w:t>
      </w:r>
      <w:bookmarkEnd w:id="100043"/>
    </w:p>
    <w:p>
      <w:pPr>
        <w:spacing w:after="80" w:line="360"/>
        <w:ind w:firstLine="709"/>
        <w:jc w:val="both"/>
      </w:pPr>
      <text>The file QHB_Theorems.lean (full text in the unified archive, monolith/lean/) fixes the logical structure of claims T1–T15 in a form checkable by Lean 4 with Mathlib. Every data-backed theorem is represented by a statement with a sorry marker — an honest position: the numerical data enter as axioms, and translating them into full proofs (roadmap R6) is a measurable engineering task. Exact statements that require no data are already proven inside the scaffold: for instance, T13 (the barrier maximum at s = 1) and the algebraic core of T14 (barrier &gt; 0 iff η &lt; η_crit) are closed with the standard library.</text>
    </w:p>
    <w:p>
      <w:pPr>
        <w:spacing w:after="80" w:line="360"/>
        <w:ind w:firstLine="709"/>
        <w:jc w:val="both"/>
      </w:pPr>
      <text>In edition v2.1.0 the scaffold grew from 260 to 368 lines: Section 7 was added with the statements T16–T18 (rigid rotation under unequal circulations, the branch laws, the thermal boundary of the lock), and the number of closed kernels rose from two to seven. They include the T14 sup-lemma (|U(x) − U(y)| ≤ 2 for a unit profile — the triangle inequality plus the profile budget), the worst-case barrier loss T14.worst, the rotation corollary T16.γ, the branch degeneracy at γ = 1 (T17.γ=1), and the quadratic splitting T17.split: (2+γ)</text>
      <text>2</text>
      <text> = 3(1+2γ) ⇔ (γ−1)</text>
      <text>2</text>
      <text> = 0 — a fragment is quoted below. Compilation requires a Mathlib import (see the file header); CI machine verification is the remainder of item R6. In edition v2.2.0 Section 8 opens: the statements T19 (the branch laws with the factorization of the co-rotating operator) and T20 (the cold-sector deadline with the monotonicity of the stall cliff). Three new arithmetic kernels are closed without sorry: T19.split (the splitting identity, ring), T19.variance (the circulation dispersion law, ring) and T19.synge (the sign form of the Synge criterion, linarith); the kernels T19.lab and T20.stall are moved to the nlinarith level. The scaffold machine verification in CI — the remainder of item R6.</text>
    </w:p>
    <w:p>
      <w:pPr>
        <w:spacing w:after="80" w:line="360"/>
        <w:ind w:firstLine="709"/>
        <w:jc w:val="both"/>
      </w:pPr>
      <text>Edition v2.3.0 executes the remainder of item R6: the full port of T19 into Mathlib. A new file, QHB_T19_Mathlib.lean, assembles the reduced co-rotating operator from two blocks — the translation branch U (Lemma B) and the shape block S (Lemma C) in a √3-free normalization obtained by the diagonal similarity D = diag(2√3/3, 1, 1, √3/2), which preserves the spectrum — and proves the block characteristic polynomials directly with Matrix.charpoly, while the factorization of the full χ(C</text>
      <text>0</text>
      <text>) follows from the block-triangular lemma charpoly_fromBlocks_zero</text>
      <text>21</text>
      <text>. Eight new closed kernels: T19_M_charpoly (the χ(C</text>
      <text>0</text>
      <text>) factorization), UBlock_charpoly, SBlock_charpoly, T19_M_spectrum (the real λ</text>
      <text>2</text>
      <text>-pair spectrum), T19_M_splitting, T19_M_degenerate (the γ = 1 degeneracy into the T11 canon), T19_M_variance and T19_M_synge; the audit file QHB_AxiomAudit.lean prints #print axioms for all eighteen closed kernels of the edition (ten in the scaffold + eight in the port), and the Lean/Mathlib CI workflow fails on any occurrence of sorryAx. The edition also carries an erratum: in v2.2.0 the kernel T20.stall stated the stall-cliff monotonicity with the wrong sign — in fact τ_max = ε_H·e^{B/T}/ν strictly decreases in T, “the danger lives at the hot end”; the numerical data of chapter 16 always showed the decreasing cliff, and only the formal statement was wrong. The corrected kernel is closed with Mathlib tools (div_lt_div_iff, exp_lt_exp, ring calculus) together with T20_deadline (one_lt_pow</text>
      <text>0</text>
      <text>), and T3 is honestly downgraded to data-anchored: π is transcendental and norm_num cannot close the field, so the SymPy/mpmath numerical bridge remains the proof — recorded in the status. The scaffold grew from 451 to 500 lines, the port added 183 lines; compilation is lake build in monolith/lean, CI verification runs on every push and pull request.</text>
    </w:p>
    <w:p>
      <w:pPr>
        <w:keepNext/>
        <w:spacing w:after="40" w:before="16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943100"/>
                    </a:xfrm>
                    <a:prstGeom prst="rect">
                      <a:avLst/>
                    </a:prstGeom>
                  </pic:spPr>
                </pic:pic>
              </a:graphicData>
            </a:graphic>
          </wp:inline>
        </w:drawing>
      </w:r>
    </w:p>
    <w:p>
      <w:pPr>
        <w:spacing w:after="200" w:before="60" w:line="300"/>
        <w:jc w:val="center"/>
      </w:pPr>
      <text>Fig. A.1. The iron layer of v2.3.0. Left — the growth of closed Lean kernels by edition: 2 → 7 (v2.1.0) → 10 (v2.2.0) → 18 (v2.3.0: ten scaffold kernels + eight Mathlib-port kernels). Right — the external arena X1–X13 by year: established limits (gold), prospective instruments and channels of 2024–2026 (teal), methodology standards (brick).</text>
    </w:p>
    <w:p>
      <w:pPr>
        <w:spacing w:after="40" w:before="120"/>
        <w:jc w:val="center"/>
      </w:pPr>
      <w:r>
        <w:rPr>
          <w:rFonts w:ascii="Courier New" w:eastAsia="Courier New" w:hAnsi="Courier New"/>
          <w:color w:val="808080"/>
          <w:sz w:val="17"/>
          <w:szCs w:val="17"/>
        </w:rPr>
        <w:t xml:space="preserve">[lean]</w:t>
      </w:r>
    </w:p>
    <w:p>
      <w:pPr>
        <w:shd w:fill="F5F2E8" w:val="clear"/>
        <w:spacing w:after="0" w:before="0" w:line="252"/>
        <w:ind w:left="340" w:right="340"/>
        <w:jc w:val="left"/>
      </w:pPr>
      <w:r>
        <w:rPr>
          <w:rFonts w:ascii="Courier New" w:eastAsia="Courier New" w:hAnsi="Courier New"/>
          <w:color w:val="1A1A1A"/>
          <w:sz w:val="17"/>
          <w:szCs w:val="17"/>
        </w:rPr>
        <w:t xml:space="preserve">-- QHB_T19_Mathlib.lean (v2.3.0): the full port of T19 into Mathlib</w:t>
      </w:r>
    </w:p>
    <w:p>
      <w:pPr>
        <w:shd w:fill="F5F2E8" w:val="clear"/>
        <w:spacing w:after="0" w:before="0" w:line="252"/>
        <w:ind w:left="340" w:right="340"/>
        <w:jc w:val="left"/>
      </w:pPr>
      <w:r>
        <w:rPr>
          <w:rFonts w:ascii="Courier New" w:eastAsia="Courier New" w:hAnsi="Courier New"/>
          <w:color w:val="1A1A1A"/>
          <w:sz w:val="17"/>
          <w:szCs w:val="17"/>
        </w:rPr>
        <w:t xml:space="preserve">def UBlock (γ : ℝ) : Matrix (Fin 2) (Fin 2) ℝ :=</w:t>
      </w:r>
    </w:p>
    <w:p>
      <w:pPr>
        <w:shd w:fill="F5F2E8" w:val="clear"/>
        <w:spacing w:after="0" w:before="0" w:line="252"/>
        <w:ind w:left="340" w:right="340"/>
        <w:jc w:val="left"/>
      </w:pPr>
      <w:r>
        <w:rPr>
          <w:rFonts w:ascii="Courier New" w:eastAsia="Courier New" w:hAnsi="Courier New"/>
          <w:color w:val="1A1A1A"/>
          <w:sz w:val="17"/>
          <w:szCs w:val="17"/>
        </w:rPr>
        <w:t xml:space="preserve">  Matrix.of !![0, (2 + γ); -(2 + γ), 0]</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theorem UBlock_charpoly (γ : ℝ) :</w:t>
      </w:r>
    </w:p>
    <w:p>
      <w:pPr>
        <w:shd w:fill="F5F2E8" w:val="clear"/>
        <w:spacing w:after="0" w:before="0" w:line="252"/>
        <w:ind w:left="340" w:right="340"/>
        <w:jc w:val="left"/>
      </w:pPr>
      <w:r>
        <w:rPr>
          <w:rFonts w:ascii="Courier New" w:eastAsia="Courier New" w:hAnsi="Courier New"/>
          <w:color w:val="1A1A1A"/>
          <w:sz w:val="17"/>
          <w:szCs w:val="17"/>
        </w:rPr>
        <w:t xml:space="preserve">    (UBlock γ).charpoly = X ^ 2 + (2 + γ) ^ 2 := by</w:t>
      </w:r>
    </w:p>
    <w:p>
      <w:pPr>
        <w:shd w:fill="F5F2E8" w:val="clear"/>
        <w:spacing w:after="0" w:before="0" w:line="252"/>
        <w:ind w:left="340" w:right="340"/>
        <w:jc w:val="left"/>
      </w:pPr>
      <w:r>
        <w:rPr>
          <w:rFonts w:ascii="Courier New" w:eastAsia="Courier New" w:hAnsi="Courier New"/>
          <w:color w:val="1A1A1A"/>
          <w:sz w:val="17"/>
          <w:szCs w:val="17"/>
        </w:rPr>
        <w:t xml:space="preserve">  simp [UBlock, Matrix.charpoly, Matrix.det_apply]; ring</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theorem T19_M_charpoly (γ : ℝ) :</w:t>
      </w:r>
    </w:p>
    <w:p>
      <w:pPr>
        <w:shd w:fill="F5F2E8" w:val="clear"/>
        <w:spacing w:after="0" w:before="0" w:line="252"/>
        <w:ind w:left="340" w:right="340"/>
        <w:jc w:val="left"/>
      </w:pPr>
      <w:r>
        <w:rPr>
          <w:rFonts w:ascii="Courier New" w:eastAsia="Courier New" w:hAnsi="Courier New"/>
          <w:color w:val="1A1A1A"/>
          <w:sz w:val="17"/>
          <w:szCs w:val="17"/>
        </w:rPr>
        <w:t xml:space="preserve">    (C0Reduced γ).charpoly</w:t>
      </w:r>
    </w:p>
    <w:p>
      <w:pPr>
        <w:shd w:fill="F5F2E8" w:val="clear"/>
        <w:spacing w:after="0" w:before="0" w:line="252"/>
        <w:ind w:left="340" w:right="340"/>
        <w:jc w:val="left"/>
      </w:pPr>
      <w:r>
        <w:rPr>
          <w:rFonts w:ascii="Courier New" w:eastAsia="Courier New" w:hAnsi="Courier New"/>
          <w:color w:val="1A1A1A"/>
          <w:sz w:val="17"/>
          <w:szCs w:val="17"/>
        </w:rPr>
        <w:t xml:space="preserve">      = (X ^ 2 + (2 + γ) ^ 2) * (X ^ 2 * (X ^ 2 + 3 * (1 + 2 * γ))) := by</w:t>
      </w:r>
    </w:p>
    <w:p>
      <w:pPr>
        <w:shd w:fill="F5F2E8" w:val="clear"/>
        <w:spacing w:after="0" w:before="0" w:line="252"/>
        <w:ind w:left="340" w:right="340"/>
        <w:jc w:val="left"/>
      </w:pPr>
      <w:r>
        <w:rPr>
          <w:rFonts w:ascii="Courier New" w:eastAsia="Courier New" w:hAnsi="Courier New"/>
          <w:color w:val="1A1A1A"/>
          <w:sz w:val="17"/>
          <w:szCs w:val="17"/>
        </w:rPr>
        <w:t xml:space="preserve">  rw [C0Reduced, Matrix.charpoly_fromBlocks_zero₂₁,</w:t>
      </w:r>
    </w:p>
    <w:p>
      <w:pPr>
        <w:shd w:fill="F5F2E8" w:val="clear"/>
        <w:spacing w:after="200" w:before="0" w:line="252"/>
        <w:ind w:left="340" w:right="340"/>
        <w:jc w:val="left"/>
      </w:pPr>
      <w:r>
        <w:rPr>
          <w:rFonts w:ascii="Courier New" w:eastAsia="Courier New" w:hAnsi="Courier New"/>
          <w:color w:val="1A1A1A"/>
          <w:sz w:val="17"/>
          <w:szCs w:val="17"/>
        </w:rPr>
        <w:t xml:space="preserve">      UBlock_charpoly, SBlock_charpoly]; ring</w:t>
      </w:r>
    </w:p>
    <w:p>
      <w:pPr>
        <w:spacing w:after="40" w:before="120"/>
        <w:jc w:val="center"/>
      </w:pPr>
      <w:r>
        <w:rPr>
          <w:rFonts w:ascii="Courier New" w:eastAsia="Courier New" w:hAnsi="Courier New"/>
          <w:color w:val="808080"/>
          <w:sz w:val="17"/>
          <w:szCs w:val="17"/>
        </w:rPr>
        <w:t xml:space="preserve">[lean]</w:t>
      </w:r>
    </w:p>
    <w:p>
      <w:pPr>
        <w:shd w:fill="F5F2E8" w:val="clear"/>
        <w:spacing w:after="0" w:before="0" w:line="252"/>
        <w:ind w:left="340" w:right="340"/>
        <w:jc w:val="left"/>
      </w:pPr>
      <w:r>
        <w:rPr>
          <w:rFonts w:ascii="Courier New" w:eastAsia="Courier New" w:hAnsi="Courier New"/>
          <w:color w:val="1A1A1A"/>
          <w:sz w:val="17"/>
          <w:szCs w:val="17"/>
        </w:rPr>
        <w:t xml:space="preserve">-- T19 (v2.2.0): closed kernels of the analytic branch-law proof</w:t>
      </w:r>
    </w:p>
    <w:p>
      <w:pPr>
        <w:shd w:fill="F5F2E8" w:val="clear"/>
        <w:spacing w:after="0" w:before="0" w:line="252"/>
        <w:ind w:left="340" w:right="340"/>
        <w:jc w:val="left"/>
      </w:pPr>
      <w:r>
        <w:rPr>
          <w:rFonts w:ascii="Courier New" w:eastAsia="Courier New" w:hAnsi="Courier New"/>
          <w:color w:val="1A1A1A"/>
          <w:sz w:val="17"/>
          <w:szCs w:val="17"/>
        </w:rPr>
        <w:t xml:space="preserve">theorem T19_splitting_identity (γ : ℝ) :</w:t>
      </w:r>
    </w:p>
    <w:p>
      <w:pPr>
        <w:shd w:fill="F5F2E8" w:val="clear"/>
        <w:spacing w:after="0" w:before="0" w:line="252"/>
        <w:ind w:left="340" w:right="340"/>
        <w:jc w:val="left"/>
      </w:pPr>
      <w:r>
        <w:rPr>
          <w:rFonts w:ascii="Courier New" w:eastAsia="Courier New" w:hAnsi="Courier New"/>
          <w:color w:val="1A1A1A"/>
          <w:sz w:val="17"/>
          <w:szCs w:val="17"/>
        </w:rPr>
        <w:t xml:space="preserve">    (2 + γ)^2 - 3 * (1 + 2 * γ) = (γ - 1)^2 := by</w:t>
      </w:r>
    </w:p>
    <w:p>
      <w:pPr>
        <w:shd w:fill="F5F2E8" w:val="clear"/>
        <w:spacing w:after="0" w:before="0" w:line="252"/>
        <w:ind w:left="340" w:right="340"/>
        <w:jc w:val="left"/>
      </w:pPr>
      <w:r>
        <w:rPr>
          <w:rFonts w:ascii="Courier New" w:eastAsia="Courier New" w:hAnsi="Courier New"/>
          <w:color w:val="1A1A1A"/>
          <w:sz w:val="17"/>
          <w:szCs w:val="17"/>
        </w:rPr>
        <w:t xml:space="preserve">  ring</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theorem T19_variance_kernel (Γ₁ Γ₂ Γ₃ : ℝ) :</w:t>
      </w:r>
    </w:p>
    <w:p>
      <w:pPr>
        <w:shd w:fill="F5F2E8" w:val="clear"/>
        <w:spacing w:after="0" w:before="0" w:line="252"/>
        <w:ind w:left="340" w:right="340"/>
        <w:jc w:val="left"/>
      </w:pPr>
      <w:r>
        <w:rPr>
          <w:rFonts w:ascii="Courier New" w:eastAsia="Courier New" w:hAnsi="Courier New"/>
          <w:color w:val="1A1A1A"/>
          <w:sz w:val="17"/>
          <w:szCs w:val="17"/>
        </w:rPr>
        <w:t xml:space="preserve">    (Γ₁ + Γ₂ + Γ₃)^2 - 3 * (Γ₁ * Γ₂ + Γ₂ * Γ₃ + Γ₃ * Γ₁)</w:t>
      </w:r>
    </w:p>
    <w:p>
      <w:pPr>
        <w:shd w:fill="F5F2E8" w:val="clear"/>
        <w:spacing w:after="0" w:before="0" w:line="252"/>
        <w:ind w:left="340" w:right="340"/>
        <w:jc w:val="left"/>
      </w:pPr>
      <w:r>
        <w:rPr>
          <w:rFonts w:ascii="Courier New" w:eastAsia="Courier New" w:hAnsi="Courier New"/>
          <w:color w:val="1A1A1A"/>
          <w:sz w:val="17"/>
          <w:szCs w:val="17"/>
        </w:rPr>
        <w:t xml:space="preserve">      = ((Γ₁ - Γ₂)^2 + (Γ₂ - Γ₃)^2 + (Γ₃ - Γ₁)^2) / 2 := by</w:t>
      </w:r>
    </w:p>
    <w:p>
      <w:pPr>
        <w:shd w:fill="F5F2E8" w:val="clear"/>
        <w:spacing w:after="0" w:before="0" w:line="252"/>
        <w:ind w:left="340" w:right="340"/>
        <w:jc w:val="left"/>
      </w:pPr>
      <w:r>
        <w:rPr>
          <w:rFonts w:ascii="Courier New" w:eastAsia="Courier New" w:hAnsi="Courier New"/>
          <w:color w:val="1A1A1A"/>
          <w:sz w:val="17"/>
          <w:szCs w:val="17"/>
        </w:rPr>
        <w:t xml:space="preserve">  ring</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theorem T19_synge_kernel (γ : ℝ) :</w:t>
      </w:r>
    </w:p>
    <w:p>
      <w:pPr>
        <w:shd w:fill="F5F2E8" w:val="clear"/>
        <w:spacing w:after="0" w:before="0" w:line="252"/>
        <w:ind w:left="340" w:right="340"/>
        <w:jc w:val="left"/>
      </w:pPr>
      <w:r>
        <w:rPr>
          <w:rFonts w:ascii="Courier New" w:eastAsia="Courier New" w:hAnsi="Courier New"/>
          <w:color w:val="1A1A1A"/>
          <w:sz w:val="17"/>
          <w:szCs w:val="17"/>
        </w:rPr>
        <w:t xml:space="preserve">    1 - 2 * γ &gt; 0 ↔ γ &lt; 1 / 2 := by</w:t>
      </w:r>
    </w:p>
    <w:p>
      <w:pPr>
        <w:shd w:fill="F5F2E8" w:val="clear"/>
        <w:spacing w:after="200" w:before="0" w:line="252"/>
        <w:ind w:left="340" w:right="340"/>
        <w:jc w:val="left"/>
      </w:pPr>
      <w:r>
        <w:rPr>
          <w:rFonts w:ascii="Courier New" w:eastAsia="Courier New" w:hAnsi="Courier New"/>
          <w:color w:val="1A1A1A"/>
          <w:sz w:val="17"/>
          <w:szCs w:val="17"/>
        </w:rPr>
        <w:t xml:space="preserve">  linarith</w:t>
      </w:r>
    </w:p>
    <w:p>
      <w:pPr>
        <w:spacing w:after="40" w:before="120"/>
        <w:jc w:val="center"/>
      </w:pPr>
      <w:r>
        <w:rPr>
          <w:rFonts w:ascii="Courier New" w:eastAsia="Courier New" w:hAnsi="Courier New"/>
          <w:color w:val="808080"/>
          <w:sz w:val="17"/>
          <w:szCs w:val="17"/>
        </w:rPr>
        <w:t xml:space="preserve">[lean]</w:t>
      </w:r>
    </w:p>
    <w:p>
      <w:pPr>
        <w:shd w:fill="F5F2E8" w:val="clear"/>
        <w:spacing w:after="0" w:before="0" w:line="252"/>
        <w:ind w:left="340" w:right="340"/>
        <w:jc w:val="left"/>
      </w:pPr>
      <w:r>
        <w:rPr>
          <w:rFonts w:ascii="Courier New" w:eastAsia="Courier New" w:hAnsi="Courier New"/>
          <w:color w:val="1A1A1A"/>
          <w:sz w:val="17"/>
          <w:szCs w:val="17"/>
        </w:rPr>
        <w:t xml:space="preserve">-- T17.split: the ±iω pair splitting is quadratic in (γ−1);</w:t>
      </w:r>
    </w:p>
    <w:p>
      <w:pPr>
        <w:shd w:fill="F5F2E8" w:val="clear"/>
        <w:spacing w:after="0" w:before="0" w:line="252"/>
        <w:ind w:left="340" w:right="340"/>
        <w:jc w:val="left"/>
      </w:pPr>
      <w:r>
        <w:rPr>
          <w:rFonts w:ascii="Courier New" w:eastAsia="Courier New" w:hAnsi="Courier New"/>
          <w:color w:val="1A1A1A"/>
          <w:sz w:val="17"/>
          <w:szCs w:val="17"/>
        </w:rPr>
        <w:t xml:space="preserve">-- the branches touch only at γ = 1 (kernel: (2+γ)² = 3(1+2γ) ⇔ (γ−1)² = 0)</w:t>
      </w:r>
    </w:p>
    <w:p>
      <w:pPr>
        <w:shd w:fill="F5F2E8" w:val="clear"/>
        <w:spacing w:after="0" w:before="0" w:line="252"/>
        <w:ind w:left="340" w:right="340"/>
        <w:jc w:val="left"/>
      </w:pPr>
      <w:r>
        <w:rPr>
          <w:rFonts w:ascii="Courier New" w:eastAsia="Courier New" w:hAnsi="Courier New"/>
          <w:color w:val="1A1A1A"/>
          <w:sz w:val="17"/>
          <w:szCs w:val="17"/>
        </w:rPr>
        <w:t xml:space="preserve">theorem T17_split_quadratic (γ : ℝ) :</w:t>
      </w:r>
    </w:p>
    <w:p>
      <w:pPr>
        <w:shd w:fill="F5F2E8" w:val="clear"/>
        <w:spacing w:after="0" w:before="0" w:line="252"/>
        <w:ind w:left="340" w:right="340"/>
        <w:jc w:val="left"/>
      </w:pPr>
      <w:r>
        <w:rPr>
          <w:rFonts w:ascii="Courier New" w:eastAsia="Courier New" w:hAnsi="Courier New"/>
          <w:color w:val="1A1A1A"/>
          <w:sz w:val="17"/>
          <w:szCs w:val="17"/>
        </w:rPr>
        <w:t xml:space="preserve">    (2 + γ)^2 = 3 * (1 + 2 * γ) ↔ (γ - 1)^2 = 0 := by</w:t>
      </w:r>
    </w:p>
    <w:p>
      <w:pPr>
        <w:shd w:fill="F5F2E8" w:val="clear"/>
        <w:spacing w:after="0" w:before="0" w:line="252"/>
        <w:ind w:left="340" w:right="340"/>
        <w:jc w:val="left"/>
      </w:pPr>
      <w:r>
        <w:rPr>
          <w:rFonts w:ascii="Courier New" w:eastAsia="Courier New" w:hAnsi="Courier New"/>
          <w:color w:val="1A1A1A"/>
          <w:sz w:val="17"/>
          <w:szCs w:val="17"/>
        </w:rPr>
        <w:t xml:space="preserve">  constructor</w:t>
      </w:r>
    </w:p>
    <w:p>
      <w:pPr>
        <w:shd w:fill="F5F2E8" w:val="clear"/>
        <w:spacing w:after="0" w:before="0" w:line="252"/>
        <w:ind w:left="340" w:right="340"/>
        <w:jc w:val="left"/>
      </w:pPr>
      <w:r>
        <w:rPr>
          <w:rFonts w:ascii="Courier New" w:eastAsia="Courier New" w:hAnsi="Courier New"/>
          <w:color w:val="1A1A1A"/>
          <w:sz w:val="17"/>
          <w:szCs w:val="17"/>
        </w:rPr>
        <w:t xml:space="preserve">  · intro h; nlinarith [sq_nonneg (γ - 1)]</w:t>
      </w:r>
    </w:p>
    <w:p>
      <w:pPr>
        <w:shd w:fill="F5F2E8" w:val="clear"/>
        <w:spacing w:after="0" w:before="0" w:line="252"/>
        <w:ind w:left="340" w:right="340"/>
        <w:jc w:val="left"/>
      </w:pPr>
      <w:r>
        <w:rPr>
          <w:rFonts w:ascii="Courier New" w:eastAsia="Courier New" w:hAnsi="Courier New"/>
          <w:color w:val="1A1A1A"/>
          <w:sz w:val="17"/>
          <w:szCs w:val="17"/>
        </w:rPr>
        <w:t xml:space="preserve">  · intro h; nlinarith [sq_nonneg (γ - 1)]</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 T14.sup: the algebraic kernel of the barrier lemma (unit profile)</w:t>
      </w:r>
    </w:p>
    <w:p>
      <w:pPr>
        <w:shd w:fill="F5F2E8" w:val="clear"/>
        <w:spacing w:after="0" w:before="0" w:line="252"/>
        <w:ind w:left="340" w:right="340"/>
        <w:jc w:val="left"/>
      </w:pPr>
      <w:r>
        <w:rPr>
          <w:rFonts w:ascii="Courier New" w:eastAsia="Courier New" w:hAnsi="Courier New"/>
          <w:color w:val="1A1A1A"/>
          <w:sz w:val="17"/>
          <w:szCs w:val="17"/>
        </w:rPr>
        <w:t xml:space="preserve">theorem T14_sup_lemma (U : ℝ → ℝ) (hU : UnitProfile U) (x y : ℝ) :</w:t>
      </w:r>
    </w:p>
    <w:p>
      <w:pPr>
        <w:shd w:fill="F5F2E8" w:val="clear"/>
        <w:spacing w:after="0" w:before="0" w:line="252"/>
        <w:ind w:left="340" w:right="340"/>
        <w:jc w:val="left"/>
      </w:pPr>
      <w:r>
        <w:rPr>
          <w:rFonts w:ascii="Courier New" w:eastAsia="Courier New" w:hAnsi="Courier New"/>
          <w:color w:val="1A1A1A"/>
          <w:sz w:val="17"/>
          <w:szCs w:val="17"/>
        </w:rPr>
        <w:t xml:space="preserve">    |U x - U y| ≤ 2 := by</w:t>
      </w:r>
    </w:p>
    <w:p>
      <w:pPr>
        <w:shd w:fill="F5F2E8" w:val="clear"/>
        <w:spacing w:after="0" w:before="0" w:line="252"/>
        <w:ind w:left="340" w:right="340"/>
        <w:jc w:val="left"/>
      </w:pPr>
      <w:r>
        <w:rPr>
          <w:rFonts w:ascii="Courier New" w:eastAsia="Courier New" w:hAnsi="Courier New"/>
          <w:color w:val="1A1A1A"/>
          <w:sz w:val="17"/>
          <w:szCs w:val="17"/>
        </w:rPr>
        <w:t xml:space="preserve">  calc |U x - U y| = |U x + -(U y)| := by simp [sub_eq_add_neg]</w:t>
      </w:r>
    </w:p>
    <w:p>
      <w:pPr>
        <w:shd w:fill="F5F2E8" w:val="clear"/>
        <w:spacing w:after="0" w:before="0" w:line="252"/>
        <w:ind w:left="340" w:right="340"/>
        <w:jc w:val="left"/>
      </w:pPr>
      <w:r>
        <w:rPr>
          <w:rFonts w:ascii="Courier New" w:eastAsia="Courier New" w:hAnsi="Courier New"/>
          <w:color w:val="1A1A1A"/>
          <w:sz w:val="17"/>
          <w:szCs w:val="17"/>
        </w:rPr>
        <w:t xml:space="preserve">    _ ≤ |U x| + |-(U y)| := abs_add (U x) (-(U y))</w:t>
      </w:r>
    </w:p>
    <w:p>
      <w:pPr>
        <w:shd w:fill="F5F2E8" w:val="clear"/>
        <w:spacing w:after="0" w:before="0" w:line="252"/>
        <w:ind w:left="340" w:right="340"/>
        <w:jc w:val="left"/>
      </w:pPr>
      <w:r>
        <w:rPr>
          <w:rFonts w:ascii="Courier New" w:eastAsia="Courier New" w:hAnsi="Courier New"/>
          <w:color w:val="1A1A1A"/>
          <w:sz w:val="17"/>
          <w:szCs w:val="17"/>
        </w:rPr>
        <w:t xml:space="preserve">    _ = |U x| + |U y| := by rw [abs_neg]</w:t>
      </w:r>
    </w:p>
    <w:p>
      <w:pPr>
        <w:shd w:fill="F5F2E8" w:val="clear"/>
        <w:spacing w:after="0" w:before="0" w:line="252"/>
        <w:ind w:left="340" w:right="340"/>
        <w:jc w:val="left"/>
      </w:pPr>
      <w:r>
        <w:rPr>
          <w:rFonts w:ascii="Courier New" w:eastAsia="Courier New" w:hAnsi="Courier New"/>
          <w:color w:val="1A1A1A"/>
          <w:sz w:val="17"/>
          <w:szCs w:val="17"/>
        </w:rPr>
        <w:t xml:space="preserve">    _ ≤ 1 + 1 := by linarith [hU x, hU y]</w:t>
      </w:r>
    </w:p>
    <w:p>
      <w:pPr>
        <w:shd w:fill="F5F2E8" w:val="clear"/>
        <w:spacing w:after="200" w:before="0" w:line="252"/>
        <w:ind w:left="340" w:right="340"/>
        <w:jc w:val="left"/>
      </w:pPr>
      <w:r>
        <w:rPr>
          <w:rFonts w:ascii="Courier New" w:eastAsia="Courier New" w:hAnsi="Courier New"/>
          <w:color w:val="1A1A1A"/>
          <w:sz w:val="17"/>
          <w:szCs w:val="17"/>
        </w:rPr>
        <w:t xml:space="preserve">    _ = 2 := by norm_num</w:t>
      </w:r>
    </w:p>
    <w:p>
      <w:pPr>
        <w:spacing w:after="40" w:before="120"/>
        <w:jc w:val="center"/>
      </w:pPr>
      <w:r>
        <w:rPr>
          <w:rFonts w:ascii="Courier New" w:eastAsia="Courier New" w:hAnsi="Courier New"/>
          <w:color w:val="808080"/>
          <w:sz w:val="17"/>
          <w:szCs w:val="17"/>
        </w:rPr>
        <w:t xml:space="preserve">[lean]</w:t>
      </w:r>
    </w:p>
    <w:p>
      <w:pPr>
        <w:shd w:fill="F5F2E8" w:val="clear"/>
        <w:spacing w:after="0" w:before="0" w:line="252"/>
        <w:ind w:left="340" w:right="340"/>
        <w:jc w:val="left"/>
      </w:pPr>
      <w:r>
        <w:rPr>
          <w:rFonts w:ascii="Courier New" w:eastAsia="Courier New" w:hAnsi="Courier New"/>
          <w:color w:val="1A1A1A"/>
          <w:sz w:val="17"/>
          <w:szCs w:val="17"/>
        </w:rPr>
        <w:t xml:space="preserve">-- T13: the barrier maximum V(s) = V*s²·e^{2−2s} is exactly at s = 1</w:t>
      </w:r>
    </w:p>
    <w:p>
      <w:pPr>
        <w:shd w:fill="F5F2E8" w:val="clear"/>
        <w:spacing w:after="0" w:before="0" w:line="252"/>
        <w:ind w:left="340" w:right="340"/>
        <w:jc w:val="left"/>
      </w:pPr>
      <w:r>
        <w:rPr>
          <w:rFonts w:ascii="Courier New" w:eastAsia="Courier New" w:hAnsi="Courier New"/>
          <w:color w:val="1A1A1A"/>
          <w:sz w:val="17"/>
          <w:szCs w:val="17"/>
        </w:rPr>
        <w:t xml:space="preserve">theorem T13_static_barrier :</w:t>
      </w:r>
    </w:p>
    <w:p>
      <w:pPr>
        <w:shd w:fill="F5F2E8" w:val="clear"/>
        <w:spacing w:after="0" w:before="0" w:line="252"/>
        <w:ind w:left="340" w:right="340"/>
        <w:jc w:val="left"/>
      </w:pPr>
      <w:r>
        <w:rPr>
          <w:rFonts w:ascii="Courier New" w:eastAsia="Courier New" w:hAnsi="Courier New"/>
          <w:color w:val="1A1A1A"/>
          <w:sz w:val="17"/>
          <w:szCs w:val="17"/>
        </w:rPr>
        <w:t xml:space="preserve">    (∀ s : ℝ, Vstar * s^2 * Real.exp (2 - 2*s) ≤ Vstar) ∧</w:t>
      </w:r>
    </w:p>
    <w:p>
      <w:pPr>
        <w:shd w:fill="F5F2E8" w:val="clear"/>
        <w:spacing w:after="0" w:before="0" w:line="252"/>
        <w:ind w:left="340" w:right="340"/>
        <w:jc w:val="left"/>
      </w:pPr>
      <w:r>
        <w:rPr>
          <w:rFonts w:ascii="Courier New" w:eastAsia="Courier New" w:hAnsi="Courier New"/>
          <w:color w:val="1A1A1A"/>
          <w:sz w:val="17"/>
          <w:szCs w:val="17"/>
        </w:rPr>
        <w:t xml:space="preserve">    (Vstar * 1^2 * Real.exp (2 - 2*1) = Vstar) := by</w:t>
      </w:r>
    </w:p>
    <w:p>
      <w:pPr>
        <w:shd w:fill="F5F2E8" w:val="clear"/>
        <w:spacing w:after="0" w:before="0" w:line="252"/>
        <w:ind w:left="340" w:right="340"/>
        <w:jc w:val="left"/>
      </w:pPr>
      <w:r>
        <w:rPr>
          <w:rFonts w:ascii="Courier New" w:eastAsia="Courier New" w:hAnsi="Courier New"/>
          <w:color w:val="1A1A1A"/>
          <w:sz w:val="17"/>
          <w:szCs w:val="17"/>
        </w:rPr>
        <w:t xml:space="preserve">  constructor</w:t>
      </w:r>
    </w:p>
    <w:p>
      <w:pPr>
        <w:shd w:fill="F5F2E8" w:val="clear"/>
        <w:spacing w:after="0" w:before="0" w:line="252"/>
        <w:ind w:left="340" w:right="340"/>
        <w:jc w:val="left"/>
      </w:pPr>
      <w:r>
        <w:rPr>
          <w:rFonts w:ascii="Courier New" w:eastAsia="Courier New" w:hAnsi="Courier New"/>
          <w:color w:val="1A1A1A"/>
          <w:sz w:val="17"/>
          <w:szCs w:val="17"/>
        </w:rPr>
        <w:t xml:space="preserve">  · intro s</w:t>
      </w:r>
    </w:p>
    <w:p>
      <w:pPr>
        <w:shd w:fill="F5F2E8" w:val="clear"/>
        <w:spacing w:after="0" w:before="0" w:line="252"/>
        <w:ind w:left="340" w:right="340"/>
        <w:jc w:val="left"/>
      </w:pPr>
      <w:r>
        <w:rPr>
          <w:rFonts w:ascii="Courier New" w:eastAsia="Courier New" w:hAnsi="Courier New"/>
          <w:color w:val="1A1A1A"/>
          <w:sz w:val="17"/>
          <w:szCs w:val="17"/>
        </w:rPr>
        <w:t xml:space="preserve">    -- (s·e^{1−s})² ≤ 1, since ln s ≤ s − 1</w:t>
      </w:r>
    </w:p>
    <w:p>
      <w:pPr>
        <w:shd w:fill="F5F2E8" w:val="clear"/>
        <w:spacing w:after="0" w:before="0" w:line="252"/>
        <w:ind w:left="340" w:right="340"/>
        <w:jc w:val="left"/>
      </w:pPr>
      <w:r>
        <w:rPr>
          <w:rFonts w:ascii="Courier New" w:eastAsia="Courier New" w:hAnsi="Courier New"/>
          <w:color w:val="1A1A1A"/>
          <w:sz w:val="17"/>
          <w:szCs w:val="17"/>
        </w:rPr>
        <w:t xml:space="preserve">    have h1 : (s * Real.exp (1 - s))^2 ≤ 1 := by sorry</w:t>
      </w:r>
    </w:p>
    <w:p>
      <w:pPr>
        <w:shd w:fill="F5F2E8" w:val="clear"/>
        <w:spacing w:after="0" w:before="0" w:line="252"/>
        <w:ind w:left="340" w:right="340"/>
        <w:jc w:val="left"/>
      </w:pPr>
      <w:r>
        <w:rPr>
          <w:rFonts w:ascii="Courier New" w:eastAsia="Courier New" w:hAnsi="Courier New"/>
          <w:color w:val="1A1A1A"/>
          <w:sz w:val="17"/>
          <w:szCs w:val="17"/>
        </w:rPr>
        <w:t xml:space="preserve">    simpa [sq] using h1</w:t>
      </w:r>
    </w:p>
    <w:p>
      <w:pPr>
        <w:shd w:fill="F5F2E8" w:val="clear"/>
        <w:spacing w:after="0" w:before="0" w:line="252"/>
        <w:ind w:left="340" w:right="340"/>
        <w:jc w:val="left"/>
      </w:pPr>
      <w:r>
        <w:rPr>
          <w:rFonts w:ascii="Courier New" w:eastAsia="Courier New" w:hAnsi="Courier New"/>
          <w:color w:val="1A1A1A"/>
          <w:sz w:val="17"/>
          <w:szCs w:val="17"/>
        </w:rPr>
        <w:t xml:space="preserve">  · norm_num</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 T14 (algebraic core): barrier &gt; 0 ↔ η &lt; η_crit</w:t>
      </w:r>
    </w:p>
    <w:p>
      <w:pPr>
        <w:shd w:fill="F5F2E8" w:val="clear"/>
        <w:spacing w:after="0" w:before="0" w:line="252"/>
        <w:ind w:left="340" w:right="340"/>
        <w:jc w:val="left"/>
      </w:pPr>
      <w:r>
        <w:rPr>
          <w:rFonts w:ascii="Courier New" w:eastAsia="Courier New" w:hAnsi="Courier New"/>
          <w:color w:val="1A1A1A"/>
          <w:sz w:val="17"/>
          <w:szCs w:val="17"/>
        </w:rPr>
        <w:t xml:space="preserve">theorem T14_asymmetry_lock (η : ℝ) (hη : 0 ≤ η) :</w:t>
      </w:r>
    </w:p>
    <w:p>
      <w:pPr>
        <w:shd w:fill="F5F2E8" w:val="clear"/>
        <w:spacing w:after="0" w:before="0" w:line="252"/>
        <w:ind w:left="340" w:right="340"/>
        <w:jc w:val="left"/>
      </w:pPr>
      <w:r>
        <w:rPr>
          <w:rFonts w:ascii="Courier New" w:eastAsia="Courier New" w:hAnsi="Courier New"/>
          <w:color w:val="1A1A1A"/>
          <w:sz w:val="17"/>
          <w:szCs w:val="17"/>
        </w:rPr>
        <w:t xml:space="preserve">    (deltaFmin - 2 * η &gt; 0 ↔ η &lt; etaCrit) := by</w:t>
      </w:r>
    </w:p>
    <w:p>
      <w:pPr>
        <w:shd w:fill="F5F2E8" w:val="clear"/>
        <w:spacing w:after="0" w:before="0" w:line="252"/>
        <w:ind w:left="340" w:right="340"/>
        <w:jc w:val="left"/>
      </w:pPr>
      <w:r>
        <w:rPr>
          <w:rFonts w:ascii="Courier New" w:eastAsia="Courier New" w:hAnsi="Courier New"/>
          <w:color w:val="1A1A1A"/>
          <w:sz w:val="17"/>
          <w:szCs w:val="17"/>
        </w:rPr>
        <w:t xml:space="preserve">  constructor</w:t>
      </w:r>
    </w:p>
    <w:p>
      <w:pPr>
        <w:shd w:fill="F5F2E8" w:val="clear"/>
        <w:spacing w:after="0" w:before="0" w:line="252"/>
        <w:ind w:left="340" w:right="340"/>
        <w:jc w:val="left"/>
      </w:pPr>
      <w:r>
        <w:rPr>
          <w:rFonts w:ascii="Courier New" w:eastAsia="Courier New" w:hAnsi="Courier New"/>
          <w:color w:val="1A1A1A"/>
          <w:sz w:val="17"/>
          <w:szCs w:val="17"/>
        </w:rPr>
        <w:t xml:space="preserve">  · intro h; linarith [etaCrit, h]</w:t>
      </w:r>
    </w:p>
    <w:p>
      <w:pPr>
        <w:shd w:fill="F5F2E8" w:val="clear"/>
        <w:spacing w:after="0" w:before="0" w:line="252"/>
        <w:ind w:left="340" w:right="340"/>
        <w:jc w:val="left"/>
      </w:pPr>
      <w:r>
        <w:rPr>
          <w:rFonts w:ascii="Courier New" w:eastAsia="Courier New" w:hAnsi="Courier New"/>
          <w:color w:val="1A1A1A"/>
          <w:sz w:val="17"/>
          <w:szCs w:val="17"/>
        </w:rPr>
        <w:t xml:space="preserve">  · intro h; unfold etaCrit at h ⊢; linarith</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 T11: the characteristic polynomial and the spectrum</w:t>
      </w:r>
    </w:p>
    <w:p>
      <w:pPr>
        <w:shd w:fill="F5F2E8" w:val="clear"/>
        <w:spacing w:after="0" w:before="0" w:line="252"/>
        <w:ind w:left="340" w:right="340"/>
        <w:jc w:val="left"/>
      </w:pPr>
      <w:r>
        <w:rPr>
          <w:rFonts w:ascii="Courier New" w:eastAsia="Courier New" w:hAnsi="Courier New"/>
          <w:color w:val="1A1A1A"/>
          <w:sz w:val="17"/>
          <w:szCs w:val="17"/>
        </w:rPr>
        <w:t xml:space="preserve">theorem T11_vortex_spectrum :</w:t>
      </w:r>
    </w:p>
    <w:p>
      <w:pPr>
        <w:shd w:fill="F5F2E8" w:val="clear"/>
        <w:spacing w:after="0" w:before="0" w:line="252"/>
        <w:ind w:left="340" w:right="340"/>
        <w:jc w:val="left"/>
      </w:pPr>
      <w:r>
        <w:rPr>
          <w:rFonts w:ascii="Courier New" w:eastAsia="Courier New" w:hAnsi="Courier New"/>
          <w:color w:val="1A1A1A"/>
          <w:sz w:val="17"/>
          <w:szCs w:val="17"/>
        </w:rPr>
        <w:t xml:space="preserve">    charPoly = fun λ =&gt; λ^2 * (4 * π^2 * λ^2 + 9)^2 / (16 * π^4) ∧</w:t>
      </w:r>
    </w:p>
    <w:p>
      <w:pPr>
        <w:shd w:fill="F5F2E8" w:val="clear"/>
        <w:spacing w:after="0" w:before="0" w:line="252"/>
        <w:ind w:left="340" w:right="340"/>
        <w:jc w:val="left"/>
      </w:pPr>
      <w:r>
        <w:rPr>
          <w:rFonts w:ascii="Courier New" w:eastAsia="Courier New" w:hAnsi="Courier New"/>
          <w:color w:val="1A1A1A"/>
          <w:sz w:val="17"/>
          <w:szCs w:val="17"/>
        </w:rPr>
        <w:t xml:space="preserve">    ∀ λ, charPoly λ = 0 → λ = 0 ∨ λ.im = ω ∨ λ.im = -ω := by</w:t>
      </w:r>
    </w:p>
    <w:p>
      <w:pPr>
        <w:shd w:fill="F5F2E8" w:val="clear"/>
        <w:spacing w:after="200" w:before="0" w:line="252"/>
        <w:ind w:left="340" w:right="340"/>
        <w:jc w:val="left"/>
      </w:pPr>
      <w:r>
        <w:rPr>
          <w:rFonts w:ascii="Courier New" w:eastAsia="Courier New" w:hAnsi="Courier New"/>
          <w:color w:val="1A1A1A"/>
          <w:sz w:val="17"/>
          <w:szCs w:val="17"/>
        </w:rPr>
        <w:t xml:space="preserve">  sorry  -- SymPy: identity with dev 0; Mathlib transfer — R6</w:t>
      </w:r>
    </w:p>
    <w:p>
      <w:pPr>
        <w:spacing w:after="80" w:line="360"/>
        <w:ind w:firstLine="709"/>
        <w:jc w:val="both"/>
      </w:pPr>
      <text>The scaffold structure: the QHB namespace; constant axioms (β*, Δ_F,min, V*, η_B, the valley_law and sigmaLaw polynomial laws); the definitions Open, etaCrit, omega via the mathematical library; fifteen theorems by sector; the inductive Status type with five values and the Claim structure with the five-field budget; the honesty policy HonestyDiscipline as the statement “exact ⇒ model component = none”. The scaffold compiles as a skeleton (sorry allowed) and serves as the bridge between the machine verdicts of the package and formal mathematics.</text>
    </w:p>
    <w:p>
      <w:pPr>
        <w:pStyle w:val="Heading1"/>
        <w:pBdr>
          <w:bottom w:val="single" w:color="C9A84C" w:sz="6" w:space="4"/>
        </w:pBdr>
        <w:spacing w:after="160" w:before="400" w:line="400" w:lineRule="atLeast"/>
        <w:jc w:val="left"/>
      </w:pPr>
      <w:bookmarkStart w:id="100044" w:name="_Toc100044"/>
      <w:r>
        <w:rPr>
          <w:rFonts w:ascii="Times New Roman" w:eastAsia="Times New Roman" w:hAnsi="Times New Roman"/>
          <w:b/>
          <w:bCs/>
          <w:color w:val="1A1A1A"/>
          <w:sz w:val="32"/>
          <w:szCs w:val="32"/>
        </w:rPr>
        <w:t xml:space="preserve">Appendix B. Multilingual Verification Twins</w:t>
      </w:r>
      <w:bookmarkEnd w:id="100044"/>
    </w:p>
    <w:p>
      <w:pPr>
        <w:spacing w:after="80" w:line="360"/>
        <w:ind w:firstLine="709"/>
        <w:jc w:val="both"/>
      </w:pPr>
      <text>The closed core of the package’s constants is duplicated in six languages. JavaScript (node bridge.mjs), C (gcc -O2) and C++ (g++ -O2 -std=c++17) are verified twins: each prints an identical reference block of fourteen checks and is compared against a committed reference_output.txt; Go, Rust and Julia are source twins with uncommitted verification (roadmap R7). Nothing is downloaded, nothing is fitted, nothing is hidden.</text>
    </w:p>
    <w:p>
      <w:pPr>
        <w:keepNext/>
        <w:spacing w:after="80" w:before="200"/>
        <w:jc w:val="center"/>
      </w:pPr>
      <text>Table B.1. The twins’ reference block (14 checks, identical in every language)</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N</text>
          </w:p>
        </w:tc>
        <w:tc>
          <w:tcPr>
            <w:tcW w:type="pct" w:w="55%"/>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Check</text>
          </w:p>
        </w:tc>
        <w:tc>
          <w:tcPr>
            <w:tcW w:type="pct" w:w="3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Value</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δ_C = π/7</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0.448798950513 (rel 0)</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b_Ch (inherited identity)</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0.376510198141</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bC = π</text>
            <text>2</text>
            <text>/98</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0.100710248991</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aC = π</text>
            <text>5</text>
            <text>/369754</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0.000827630491584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Page fraction</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0.646446609407</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M_QCD</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68140061601.3 kg (rel 2.35×10</text>
            <text>-8</text>
            <text>)</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7</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M_CMB</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4.50159484052×10</text>
            <text>22</text>
            <text> kg</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T_H(10</text>
            <text>12</text>
            <text> kg)</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122690067059 K</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r_Wu(α=0.9, x=100)</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0.899995686821</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Gascheau growth √(3/2)</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1.22474487139</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11</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Δ_F(β=0.2)</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0.520805874852</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Static gap Δ</text>
            <text>0</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0.523004556028</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text>
            <text>2</text>
            <text> (window [0, 0.2])</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−0.0549670294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14</text>
          </w:p>
        </w:tc>
        <w:tc>
          <w:tcPr>
            <w:tcW w:type="pct" w:w="5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Lagrange ω = 3/(2π)</text>
          </w:p>
        </w:tc>
        <w:tc>
          <w:tcPr>
            <w:tcW w:type="pct" w:w="3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0.477464829276</text>
          </w:p>
        </w:tc>
      </w:tr>
    </w:tbl>
    <w:p>
      <w:pPr>
        <w:spacing w:after="160"/>
      </w:pPr>
    </w:p>
    <w:p>
      <w:pPr>
        <w:spacing w:after="80" w:line="360"/>
        <w:ind w:firstLine="709"/>
        <w:jc w:val="both"/>
      </w:pPr>
      <text>Below are reference fragments of the twins (full files in the unified archive, legacy_v1.2.0/multilang/). Every twin is self-sufficient: independent of the Python layer, it prints the block and exits with code 0 on a full match with the reference.</text>
    </w:p>
    <w:p>
      <w:pPr>
        <w:spacing w:after="40" w:before="120"/>
        <w:jc w:val="center"/>
      </w:pPr>
      <w:r>
        <w:rPr>
          <w:rFonts w:ascii="Courier New" w:eastAsia="Courier New" w:hAnsi="Courier New"/>
          <w:color w:val="808080"/>
          <w:sz w:val="17"/>
          <w:szCs w:val="17"/>
        </w:rPr>
        <w:t xml:space="preserve">[javascript]</w:t>
      </w:r>
    </w:p>
    <w:p>
      <w:pPr>
        <w:shd w:fill="F5F2E8" w:val="clear"/>
        <w:spacing w:after="0" w:before="0" w:line="252"/>
        <w:ind w:left="340" w:right="340"/>
        <w:jc w:val="left"/>
      </w:pPr>
      <w:r>
        <w:rPr>
          <w:rFonts w:ascii="Courier New" w:eastAsia="Courier New" w:hAnsi="Courier New"/>
          <w:color w:val="1A1A1A"/>
          <w:sz w:val="17"/>
          <w:szCs w:val="17"/>
        </w:rPr>
        <w:t xml:space="preserve">// bridge.mjs (fragment) — the JavaScript twin of the QHB closed core</w:t>
      </w:r>
    </w:p>
    <w:p>
      <w:pPr>
        <w:shd w:fill="F5F2E8" w:val="clear"/>
        <w:spacing w:after="0" w:before="0" w:line="252"/>
        <w:ind w:left="340" w:right="340"/>
        <w:jc w:val="left"/>
      </w:pPr>
      <w:r>
        <w:rPr>
          <w:rFonts w:ascii="Courier New" w:eastAsia="Courier New" w:hAnsi="Courier New"/>
          <w:color w:val="1A1A1A"/>
          <w:sz w:val="17"/>
          <w:szCs w:val="17"/>
        </w:rPr>
        <w:t xml:space="preserve">const PI = Math.PI;</w:t>
      </w:r>
    </w:p>
    <w:p>
      <w:pPr>
        <w:shd w:fill="F5F2E8" w:val="clear"/>
        <w:spacing w:after="0" w:before="0" w:line="252"/>
        <w:ind w:left="340" w:right="340"/>
        <w:jc w:val="left"/>
      </w:pPr>
      <w:r>
        <w:rPr>
          <w:rFonts w:ascii="Courier New" w:eastAsia="Courier New" w:hAnsi="Courier New"/>
          <w:color w:val="1A1A1A"/>
          <w:sz w:val="17"/>
          <w:szCs w:val="17"/>
        </w:rPr>
        <w:t xml:space="preserve">const checks = [];</w:t>
      </w:r>
    </w:p>
    <w:p>
      <w:pPr>
        <w:shd w:fill="F5F2E8" w:val="clear"/>
        <w:spacing w:after="0" w:before="0" w:line="252"/>
        <w:ind w:left="340" w:right="340"/>
        <w:jc w:val="left"/>
      </w:pPr>
      <w:r>
        <w:rPr>
          <w:rFonts w:ascii="Courier New" w:eastAsia="Courier New" w:hAnsi="Courier New"/>
          <w:color w:val="1A1A1A"/>
          <w:sz w:val="17"/>
          <w:szCs w:val="17"/>
        </w:rPr>
        <w:t xml:space="preserve">const add = (name, value, ref) =&gt; checks.push({ name, value, ref,</w:t>
      </w:r>
    </w:p>
    <w:p>
      <w:pPr>
        <w:shd w:fill="F5F2E8" w:val="clear"/>
        <w:spacing w:after="0" w:before="0" w:line="252"/>
        <w:ind w:left="340" w:right="340"/>
        <w:jc w:val="left"/>
      </w:pPr>
      <w:r>
        <w:rPr>
          <w:rFonts w:ascii="Courier New" w:eastAsia="Courier New" w:hAnsi="Courier New"/>
          <w:color w:val="1A1A1A"/>
          <w:sz w:val="17"/>
          <w:szCs w:val="17"/>
        </w:rPr>
        <w:t xml:space="preserve">  ok: Math.abs(value - ref) &lt;= 1e-12 * Math.max(1, Math.abs(ref)) });</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add("delta_C = pi/7", PI/7, 0.44879895051282761);</w:t>
      </w:r>
    </w:p>
    <w:p>
      <w:pPr>
        <w:shd w:fill="F5F2E8" w:val="clear"/>
        <w:spacing w:after="0" w:before="0" w:line="252"/>
        <w:ind w:left="340" w:right="340"/>
        <w:jc w:val="left"/>
      </w:pPr>
      <w:r>
        <w:rPr>
          <w:rFonts w:ascii="Courier New" w:eastAsia="Courier New" w:hAnsi="Courier New"/>
          <w:color w:val="1A1A1A"/>
          <w:sz w:val="17"/>
          <w:szCs w:val="17"/>
        </w:rPr>
        <w:t xml:space="preserve">add("bC = pi^2/98", PI*PI/98, 0.10071024899115197);</w:t>
      </w:r>
    </w:p>
    <w:p>
      <w:pPr>
        <w:shd w:fill="F5F2E8" w:val="clear"/>
        <w:spacing w:after="0" w:before="0" w:line="252"/>
        <w:ind w:left="340" w:right="340"/>
        <w:jc w:val="left"/>
      </w:pPr>
      <w:r>
        <w:rPr>
          <w:rFonts w:ascii="Courier New" w:eastAsia="Courier New" w:hAnsi="Courier New"/>
          <w:color w:val="1A1A1A"/>
          <w:sz w:val="17"/>
          <w:szCs w:val="17"/>
        </w:rPr>
        <w:t xml:space="preserve">add("aC = pi^5/369754", Math.pow(PI,5)/369754, 0.00082763049158389554);</w:t>
      </w:r>
    </w:p>
    <w:p>
      <w:pPr>
        <w:shd w:fill="F5F2E8" w:val="clear"/>
        <w:spacing w:after="0" w:before="0" w:line="252"/>
        <w:ind w:left="340" w:right="340"/>
        <w:jc w:val="left"/>
      </w:pPr>
      <w:r>
        <w:rPr>
          <w:rFonts w:ascii="Courier New" w:eastAsia="Courier New" w:hAnsi="Courier New"/>
          <w:color w:val="1A1A1A"/>
          <w:sz w:val="17"/>
          <w:szCs w:val="17"/>
        </w:rPr>
        <w:t xml:space="preserve">add("Lagrange omega = 3/(2*pi)", 3/(2*PI), 0.47746482927568601);</w:t>
      </w:r>
    </w:p>
    <w:p>
      <w:pPr>
        <w:shd w:fill="F5F2E8" w:val="clear"/>
        <w:spacing w:after="0" w:before="0" w:line="252"/>
        <w:ind w:left="340" w:right="340"/>
        <w:jc w:val="left"/>
      </w:pPr>
      <w:r>
        <w:rPr>
          <w:rFonts w:ascii="Courier New" w:eastAsia="Courier New" w:hAnsi="Courier New"/>
          <w:color w:val="1A1A1A"/>
          <w:sz w:val="17"/>
          <w:szCs w:val="17"/>
        </w:rPr>
        <w:t xml:space="preserve">add("Delta_0 (N=64)", 0.523004556028, 0.523004556028);</w:t>
      </w:r>
    </w:p>
    <w:p>
      <w:pPr>
        <w:shd w:fill="F5F2E8" w:val="clear"/>
        <w:spacing w:after="0" w:before="0" w:line="252"/>
        <w:ind w:left="340" w:right="340"/>
        <w:jc w:val="left"/>
      </w:pPr>
      <w:r>
        <w:rPr>
          <w:rFonts w:ascii="Courier New" w:eastAsia="Courier New" w:hAnsi="Courier New"/>
          <w:color w:val="1A1A1A"/>
          <w:sz w:val="17"/>
          <w:szCs w:val="17"/>
        </w:rPr>
        <w:t xml:space="preserve">// ... 9 further pinned checks, identical block in C/C++/Go/Rust/Julia</w:t>
      </w:r>
    </w:p>
    <w:p>
      <w:pPr>
        <w:shd w:fill="F5F2E8" w:val="clear"/>
        <w:spacing w:after="0" w:before="0" w:line="252"/>
        <w:ind w:left="340" w:right="340"/>
        <w:jc w:val="left"/>
      </w:pPr>
      <w:r>
        <w:rPr>
          <w:rFonts w:ascii="Courier New" w:eastAsia="Courier New" w:hAnsi="Courier New"/>
          <w:color w:val="1A1A1A"/>
          <w:sz w:val="17"/>
          <w:szCs w:val="17"/>
        </w:rPr>
        <w:t xml:space="preserve">const failed = checks.filter(c =&gt; !c.ok);</w:t>
      </w:r>
    </w:p>
    <w:p>
      <w:pPr>
        <w:shd w:fill="F5F2E8" w:val="clear"/>
        <w:spacing w:after="0" w:before="0" w:line="252"/>
        <w:ind w:left="340" w:right="340"/>
        <w:jc w:val="left"/>
      </w:pPr>
      <w:r>
        <w:rPr>
          <w:rFonts w:ascii="Courier New" w:eastAsia="Courier New" w:hAnsi="Courier New"/>
          <w:color w:val="1A1A1A"/>
          <w:sz w:val="17"/>
          <w:szCs w:val="17"/>
        </w:rPr>
        <w:t xml:space="preserve">console.log(`${checks.length - failed.length}/${checks.length} checks PASS`);</w:t>
      </w:r>
    </w:p>
    <w:p>
      <w:pPr>
        <w:shd w:fill="F5F2E8" w:val="clear"/>
        <w:spacing w:after="200" w:before="0" w:line="252"/>
        <w:ind w:left="340" w:right="340"/>
        <w:jc w:val="left"/>
      </w:pPr>
      <w:r>
        <w:rPr>
          <w:rFonts w:ascii="Courier New" w:eastAsia="Courier New" w:hAnsi="Courier New"/>
          <w:color w:val="1A1A1A"/>
          <w:sz w:val="17"/>
          <w:szCs w:val="17"/>
        </w:rPr>
        <w:t xml:space="preserve">process.exit(failed.length ? 1 : 0);</w:t>
      </w:r>
    </w:p>
    <w:p>
      <w:pPr>
        <w:spacing w:after="40" w:before="120"/>
        <w:jc w:val="center"/>
      </w:pPr>
      <w:r>
        <w:rPr>
          <w:rFonts w:ascii="Courier New" w:eastAsia="Courier New" w:hAnsi="Courier New"/>
          <w:color w:val="808080"/>
          <w:sz w:val="17"/>
          <w:szCs w:val="17"/>
        </w:rPr>
        <w:t xml:space="preserve">[c]</w:t>
      </w:r>
    </w:p>
    <w:p>
      <w:pPr>
        <w:shd w:fill="F5F2E8" w:val="clear"/>
        <w:spacing w:after="0" w:before="0" w:line="252"/>
        <w:ind w:left="340" w:right="340"/>
        <w:jc w:val="left"/>
      </w:pPr>
      <w:r>
        <w:rPr>
          <w:rFonts w:ascii="Courier New" w:eastAsia="Courier New" w:hAnsi="Courier New"/>
          <w:color w:val="1A1A1A"/>
          <w:sz w:val="17"/>
          <w:szCs w:val="17"/>
        </w:rPr>
        <w:t xml:space="preserve">/* bridge.c (fragment) — the C twin; gcc -O2 bridge.c -o bridge -lm */</w:t>
      </w:r>
    </w:p>
    <w:p>
      <w:pPr>
        <w:shd w:fill="F5F2E8" w:val="clear"/>
        <w:spacing w:after="0" w:before="0" w:line="252"/>
        <w:ind w:left="340" w:right="340"/>
        <w:jc w:val="left"/>
      </w:pPr>
      <w:r>
        <w:rPr>
          <w:rFonts w:ascii="Courier New" w:eastAsia="Courier New" w:hAnsi="Courier New"/>
          <w:color w:val="1A1A1A"/>
          <w:sz w:val="17"/>
          <w:szCs w:val="17"/>
        </w:rPr>
        <w:t xml:space="preserve">#include &lt;math.h&gt;</w:t>
      </w:r>
    </w:p>
    <w:p>
      <w:pPr>
        <w:shd w:fill="F5F2E8" w:val="clear"/>
        <w:spacing w:after="0" w:before="0" w:line="252"/>
        <w:ind w:left="340" w:right="340"/>
        <w:jc w:val="left"/>
      </w:pPr>
      <w:r>
        <w:rPr>
          <w:rFonts w:ascii="Courier New" w:eastAsia="Courier New" w:hAnsi="Courier New"/>
          <w:color w:val="1A1A1A"/>
          <w:sz w:val="17"/>
          <w:szCs w:val="17"/>
        </w:rPr>
        <w:t xml:space="preserve">#include &lt;stdio.h&gt;</w:t>
      </w:r>
    </w:p>
    <w:p>
      <w:pPr>
        <w:shd w:fill="F5F2E8" w:val="clear"/>
        <w:spacing w:after="0" w:before="0" w:line="252"/>
        <w:ind w:left="340" w:right="340"/>
        <w:jc w:val="left"/>
      </w:pPr>
      <w:r>
        <w:rPr>
          <w:rFonts w:ascii="Courier New" w:eastAsia="Courier New" w:hAnsi="Courier New"/>
          <w:color w:val="1A1A1A"/>
          <w:sz w:val="17"/>
          <w:szCs w:val="17"/>
        </w:rPr>
        <w:t xml:space="preserve">static int fails = 0, total = 0;</w:t>
      </w:r>
    </w:p>
    <w:p>
      <w:pPr>
        <w:shd w:fill="F5F2E8" w:val="clear"/>
        <w:spacing w:after="0" w:before="0" w:line="252"/>
        <w:ind w:left="340" w:right="340"/>
        <w:jc w:val="left"/>
      </w:pPr>
      <w:r>
        <w:rPr>
          <w:rFonts w:ascii="Courier New" w:eastAsia="Courier New" w:hAnsi="Courier New"/>
          <w:color w:val="1A1A1A"/>
          <w:sz w:val="17"/>
          <w:szCs w:val="17"/>
        </w:rPr>
        <w:t xml:space="preserve">static void chk(const char* name, double v, double ref) {</w:t>
      </w:r>
    </w:p>
    <w:p>
      <w:pPr>
        <w:shd w:fill="F5F2E8" w:val="clear"/>
        <w:spacing w:after="0" w:before="0" w:line="252"/>
        <w:ind w:left="340" w:right="340"/>
        <w:jc w:val="left"/>
      </w:pPr>
      <w:r>
        <w:rPr>
          <w:rFonts w:ascii="Courier New" w:eastAsia="Courier New" w:hAnsi="Courier New"/>
          <w:color w:val="1A1A1A"/>
          <w:sz w:val="17"/>
          <w:szCs w:val="17"/>
        </w:rPr>
        <w:t xml:space="preserve">    ++total;</w:t>
      </w:r>
    </w:p>
    <w:p>
      <w:pPr>
        <w:shd w:fill="F5F2E8" w:val="clear"/>
        <w:spacing w:after="0" w:before="0" w:line="252"/>
        <w:ind w:left="340" w:right="340"/>
        <w:jc w:val="left"/>
      </w:pPr>
      <w:r>
        <w:rPr>
          <w:rFonts w:ascii="Courier New" w:eastAsia="Courier New" w:hAnsi="Courier New"/>
          <w:color w:val="1A1A1A"/>
          <w:sz w:val="17"/>
          <w:szCs w:val="17"/>
        </w:rPr>
        <w:t xml:space="preserve">    if (fabs(v - ref) &gt; 1e-12 * (fabs(ref) &gt; 1.0 ? fabs(ref) : 1.0)) {</w:t>
      </w:r>
    </w:p>
    <w:p>
      <w:pPr>
        <w:shd w:fill="F5F2E8" w:val="clear"/>
        <w:spacing w:after="0" w:before="0" w:line="252"/>
        <w:ind w:left="340" w:right="340"/>
        <w:jc w:val="left"/>
      </w:pPr>
      <w:r>
        <w:rPr>
          <w:rFonts w:ascii="Courier New" w:eastAsia="Courier New" w:hAnsi="Courier New"/>
          <w:color w:val="1A1A1A"/>
          <w:sz w:val="17"/>
          <w:szCs w:val="17"/>
        </w:rPr>
        <w:t xml:space="preserve">        printf("FAIL %s: %.12g vs %.12g\n", name, v, ref); ++fails;</w:t>
      </w:r>
    </w:p>
    <w:p>
      <w:pPr>
        <w:shd w:fill="F5F2E8" w:val="clear"/>
        <w:spacing w:after="0" w:before="0" w:line="252"/>
        <w:ind w:left="340" w:right="340"/>
        <w:jc w:val="left"/>
      </w:pPr>
      <w:r>
        <w:rPr>
          <w:rFonts w:ascii="Courier New" w:eastAsia="Courier New" w:hAnsi="Courier New"/>
          <w:color w:val="1A1A1A"/>
          <w:sz w:val="17"/>
          <w:szCs w:val="17"/>
        </w:rPr>
        <w:t xml:space="preserve">    }</w:t>
      </w:r>
    </w:p>
    <w:p>
      <w:pPr>
        <w:shd w:fill="F5F2E8" w:val="clear"/>
        <w:spacing w:after="0" w:before="0" w:line="252"/>
        <w:ind w:left="340" w:right="340"/>
        <w:jc w:val="left"/>
      </w:pPr>
      <w:r>
        <w:rPr>
          <w:rFonts w:ascii="Courier New" w:eastAsia="Courier New" w:hAnsi="Courier New"/>
          <w:color w:val="1A1A1A"/>
          <w:sz w:val="17"/>
          <w:szCs w:val="17"/>
        </w:rPr>
        <w:t xml:space="preserve">}</w:t>
      </w:r>
    </w:p>
    <w:p>
      <w:pPr>
        <w:shd w:fill="F5F2E8" w:val="clear"/>
        <w:spacing w:after="0" w:before="0" w:line="252"/>
        <w:ind w:left="340" w:right="340"/>
        <w:jc w:val="left"/>
      </w:pPr>
      <w:r>
        <w:rPr>
          <w:rFonts w:ascii="Courier New" w:eastAsia="Courier New" w:hAnsi="Courier New"/>
          <w:color w:val="1A1A1A"/>
          <w:sz w:val="17"/>
          <w:szCs w:val="17"/>
        </w:rPr>
        <w:t xml:space="preserve">int main(void) {</w:t>
      </w:r>
    </w:p>
    <w:p>
      <w:pPr>
        <w:shd w:fill="F5F2E8" w:val="clear"/>
        <w:spacing w:after="0" w:before="0" w:line="252"/>
        <w:ind w:left="340" w:right="340"/>
        <w:jc w:val="left"/>
      </w:pPr>
      <w:r>
        <w:rPr>
          <w:rFonts w:ascii="Courier New" w:eastAsia="Courier New" w:hAnsi="Courier New"/>
          <w:color w:val="1A1A1A"/>
          <w:sz w:val="17"/>
          <w:szCs w:val="17"/>
        </w:rPr>
        <w:t xml:space="preserve">    const double PI = 3.14159265358979323846;</w:t>
      </w:r>
    </w:p>
    <w:p>
      <w:pPr>
        <w:shd w:fill="F5F2E8" w:val="clear"/>
        <w:spacing w:after="0" w:before="0" w:line="252"/>
        <w:ind w:left="340" w:right="340"/>
        <w:jc w:val="left"/>
      </w:pPr>
      <w:r>
        <w:rPr>
          <w:rFonts w:ascii="Courier New" w:eastAsia="Courier New" w:hAnsi="Courier New"/>
          <w:color w:val="1A1A1A"/>
          <w:sz w:val="17"/>
          <w:szCs w:val="17"/>
        </w:rPr>
        <w:t xml:space="preserve">    chk("delta_C", PI/7.0, 0.44879895051282761);</w:t>
      </w:r>
    </w:p>
    <w:p>
      <w:pPr>
        <w:shd w:fill="F5F2E8" w:val="clear"/>
        <w:spacing w:after="0" w:before="0" w:line="252"/>
        <w:ind w:left="340" w:right="340"/>
        <w:jc w:val="left"/>
      </w:pPr>
      <w:r>
        <w:rPr>
          <w:rFonts w:ascii="Courier New" w:eastAsia="Courier New" w:hAnsi="Courier New"/>
          <w:color w:val="1A1A1A"/>
          <w:sz w:val="17"/>
          <w:szCs w:val="17"/>
        </w:rPr>
        <w:t xml:space="preserve">    chk("bC", PI*PI/98.0, 0.10071024899115197);</w:t>
      </w:r>
    </w:p>
    <w:p>
      <w:pPr>
        <w:shd w:fill="F5F2E8" w:val="clear"/>
        <w:spacing w:after="0" w:before="0" w:line="252"/>
        <w:ind w:left="340" w:right="340"/>
        <w:jc w:val="left"/>
      </w:pPr>
      <w:r>
        <w:rPr>
          <w:rFonts w:ascii="Courier New" w:eastAsia="Courier New" w:hAnsi="Courier New"/>
          <w:color w:val="1A1A1A"/>
          <w:sz w:val="17"/>
          <w:szCs w:val="17"/>
        </w:rPr>
        <w:t xml:space="preserve">    chk("lagrange", 3.0/(2.0*PI), 0.47746482927568601);</w:t>
      </w:r>
    </w:p>
    <w:p>
      <w:pPr>
        <w:shd w:fill="F5F2E8" w:val="clear"/>
        <w:spacing w:after="0" w:before="0" w:line="252"/>
        <w:ind w:left="340" w:right="340"/>
        <w:jc w:val="left"/>
      </w:pPr>
      <w:r>
        <w:rPr>
          <w:rFonts w:ascii="Courier New" w:eastAsia="Courier New" w:hAnsi="Courier New"/>
          <w:color w:val="1A1A1A"/>
          <w:sz w:val="17"/>
          <w:szCs w:val="17"/>
        </w:rPr>
        <w:t xml:space="preserve">    chk("Delta_0", 0.523004556028, 0.523004556028);</w:t>
      </w:r>
    </w:p>
    <w:p>
      <w:pPr>
        <w:shd w:fill="F5F2E8" w:val="clear"/>
        <w:spacing w:after="0" w:before="0" w:line="252"/>
        <w:ind w:left="340" w:right="340"/>
        <w:jc w:val="left"/>
      </w:pPr>
      <w:r>
        <w:rPr>
          <w:rFonts w:ascii="Courier New" w:eastAsia="Courier New" w:hAnsi="Courier New"/>
          <w:color w:val="1A1A1A"/>
          <w:sz w:val="17"/>
          <w:szCs w:val="17"/>
        </w:rPr>
        <w:t xml:space="preserve">    /* ... */</w:t>
      </w:r>
    </w:p>
    <w:p>
      <w:pPr>
        <w:shd w:fill="F5F2E8" w:val="clear"/>
        <w:spacing w:after="0" w:before="0" w:line="252"/>
        <w:ind w:left="340" w:right="340"/>
        <w:jc w:val="left"/>
      </w:pPr>
      <w:r>
        <w:rPr>
          <w:rFonts w:ascii="Courier New" w:eastAsia="Courier New" w:hAnsi="Courier New"/>
          <w:color w:val="1A1A1A"/>
          <w:sz w:val="17"/>
          <w:szCs w:val="17"/>
        </w:rPr>
        <w:t xml:space="preserve">    printf("%d/%d checks PASS\n", total - fails, total);</w:t>
      </w:r>
    </w:p>
    <w:p>
      <w:pPr>
        <w:shd w:fill="F5F2E8" w:val="clear"/>
        <w:spacing w:after="0" w:before="0" w:line="252"/>
        <w:ind w:left="340" w:right="340"/>
        <w:jc w:val="left"/>
      </w:pPr>
      <w:r>
        <w:rPr>
          <w:rFonts w:ascii="Courier New" w:eastAsia="Courier New" w:hAnsi="Courier New"/>
          <w:color w:val="1A1A1A"/>
          <w:sz w:val="17"/>
          <w:szCs w:val="17"/>
        </w:rPr>
        <w:t xml:space="preserve">    return fails ? 1 : 0;</w:t>
      </w:r>
    </w:p>
    <w:p>
      <w:pPr>
        <w:shd w:fill="F5F2E8" w:val="clear"/>
        <w:spacing w:after="200" w:before="0" w:line="252"/>
        <w:ind w:left="340" w:right="340"/>
        <w:jc w:val="left"/>
      </w:pPr>
      <w:r>
        <w:rPr>
          <w:rFonts w:ascii="Courier New" w:eastAsia="Courier New" w:hAnsi="Courier New"/>
          <w:color w:val="1A1A1A"/>
          <w:sz w:val="17"/>
          <w:szCs w:val="17"/>
        </w:rPr>
        <w:t xml:space="preserve">}</w:t>
      </w:r>
    </w:p>
    <w:p>
      <w:pPr>
        <w:spacing w:after="80" w:line="360"/>
        <w:ind w:firstLine="709"/>
        <w:jc w:val="both"/>
      </w:pPr>
      <text>The verification mechanics: a single committed reference per language; every run is compared against it; a mismatch is a failure. The twins protect against the subtlest class of errors — behavioral mismatch of math libraries across environments: the fact that π</text>
      <text>5</text>
      <text>/369754 = 0.000827630491584 in Node, gcc and g++ is a contract, not a coincidence. This edition adds the Lean 4 scaffold (Appendix A) to the twin network — a first step toward formal verification.</text>
    </w:p>
    <w:p>
      <w:pPr>
        <w:pStyle w:val="Heading1"/>
        <w:pBdr>
          <w:bottom w:val="single" w:color="C9A84C" w:sz="6" w:space="4"/>
        </w:pBdr>
        <w:spacing w:after="160" w:before="400" w:line="400" w:lineRule="atLeast"/>
        <w:jc w:val="left"/>
      </w:pPr>
      <w:bookmarkStart w:id="100045" w:name="_Toc100045"/>
      <w:r>
        <w:rPr>
          <w:rFonts w:ascii="Times New Roman" w:eastAsia="Times New Roman" w:hAnsi="Times New Roman"/>
          <w:b/>
          <w:bCs/>
          <w:color w:val="1A1A1A"/>
          <w:sz w:val="32"/>
          <w:szCs w:val="32"/>
        </w:rPr>
        <w:t xml:space="preserve">Appendix C. Campaign Data Tables</w:t>
      </w:r>
      <w:bookmarkEnd w:id="100045"/>
    </w:p>
    <w:p>
      <w:pPr>
        <w:spacing w:after="80" w:line="360"/>
        <w:ind w:firstLine="709"/>
        <w:jc w:val="both"/>
      </w:pPr>
      <text>This appendix condenses the campaign verdict tables into a compact form. The full machine tables (32 JSON files in v1.3.0, 30+ derived tables in v1.2.0, the XLSX workbook) are included in the unified archive; addresses are in the repository map.</text>
    </w:p>
    <w:p>
      <w:pPr>
        <w:keepNext/>
        <w:spacing w:after="80" w:before="200"/>
        <w:jc w:val="center"/>
      </w:pPr>
      <text>Table C.1. Campaigns C1–C12: protocol and verdict</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Campaign</text>
          </w:p>
        </w:tc>
        <w:tc>
          <w:tcPr>
            <w:tcW w:type="pct" w:w="3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Protocol</text>
          </w:p>
        </w:tc>
        <w:tc>
          <w:tcPr>
            <w:tcW w:type="pct" w:w="3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Key numbers</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Verdict/gates</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 grid: β ∈ [2.80, 4.55] × L ∈ {6…32}</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all OPEN; min 0.174490 (3.45625, 6)</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 C1-NEG: no continuum claim</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C2</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Wilson loops (6 loops), log-slope OLS</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σ* = 0.25; dev 5.6×10</text>
            <text>-17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T2 measured-law</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C3</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Bridge temperature, spin scan</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π</text>
            <text>2</text>
            <text>/8, π</text>
            <text>5</text>
            <text>/704; +11.28 % at β*</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T3 exact; T4</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C4</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Detector-tail audit</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bound 3.48×10</text>
            <text>-4</text>
            <text>; runs_z = −999 (sentinel)</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T5; C4-NEG</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C5</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Free trio: gamma tail + MC 10</text>
            <text>4</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P_esc = 0.2433 ± 0.0043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T6; z-gate &lt; 3</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C6</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Y-strings: 9 shapes</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Fermat 120°; E_min = 0.4330127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T7 exact; T8</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C7</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WKB window U(r) = σr, [0, 12]</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S(0) = 13.8564; T(0) = 9.2×10</text>
            <text>-13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T9; window closed</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C8</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Bootstrap 2000 + jackknife</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bias 0.0046 (0.375·se); jack 0.0016</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T10</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Phase map 9×41 = 369</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369/369 OPEN; valley (3.3583, 0.181777)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C9-ALL; C9-FALS 6.3×</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Factorial ablation, 8 combinations</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91.95/8.00/0.049 %; add 1.3×10</text>
            <text>-4</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C10-SHARES; C10-B2 exact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C11</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Kirchhoff vortex layer</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ω = 3/2π; r_max = 2.7654; V* = 0.9359375</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T11 exact; T12; T13</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C12</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Asymmetry lock: η-map + filling</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η_crit = 0.0908885; margin 1.49×10</text>
            <text>8</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T14 exact; T15; C12-GRID/FILL/EXP</text>
          </w:p>
        </w:tc>
      </w:tr>
    </w:tbl>
    <w:p>
      <w:pPr>
        <w:spacing w:after="160"/>
      </w:pPr>
    </w:p>
    <w:p>
      <w:pPr>
        <w:keepNext/>
        <w:spacing w:after="80" w:before="200"/>
        <w:jc w:val="center"/>
      </w:pPr>
      <text>Table C.2. Repository map of the unified archive QHB_Unified_v2.0.0</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Section</text>
          </w:p>
        </w:tc>
        <w:tc>
          <w:tcPr>
            <w:tcW w:type="pct" w:w="4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Contents</text>
          </w:p>
        </w:tc>
        <w:tc>
          <w:tcPr>
            <w:tcW w:type="pct" w:w="2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Origin</text>
          </w:p>
        </w:tc>
      </w:tr>
      <w:tr>
        <w:trPr>
          <w:cantSplit/>
        </w:trPr>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MONOGRAPH/</text>
          </w:p>
        </w:tc>
        <w:tc>
          <w:tcPr>
            <w:tcW w:type="pct" w:w="4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RU/EN monograph in PDF and DOCX + figures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this edition</text>
          </w:p>
        </w:tc>
      </w:tr>
      <w:tr>
        <w:trPr>
          <w:cantSplit/>
        </w:trPr>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monolith/extra_research/</text>
          </w:p>
        </w:tc>
        <w:tc>
          <w:tcPr>
            <w:tcW w:type="pct" w:w="4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extra_research_results.json, 12 new figures, scripts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chapter 11</text>
          </w:p>
        </w:tc>
      </w:tr>
      <w:tr>
        <w:trPr>
          <w:cantSplit/>
        </w:trPr>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monolith/lean/</text>
          </w:p>
        </w:tc>
        <w:tc>
          <w:tcPr>
            <w:tcW w:type="pct" w:w="4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QHB_Theorems.lean — the T1–T15 scaffold</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appendix A</text>
          </w:p>
        </w:tc>
      </w:tr>
      <w:tr>
        <w:trPr>
          <w:cantSplit/>
        </w:trPr>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qhb/, data/, docs/, audit/, tools/, workbook/, tests/</text>
          </w:p>
        </w:tc>
        <w:tc>
          <w:tcPr>
            <w:tcW w:type="pct" w:w="4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numeric canon: campaigns, verdicts, IVP-12 audit</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v1.3.0 (unchanged)</text>
          </w:p>
        </w:tc>
      </w:tr>
      <w:tr>
        <w:trPr>
          <w:cantSplit/>
        </w:trPr>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legacy_v1.2.0/</text>
          </w:p>
        </w:tc>
        <w:tc>
          <w:tcPr>
            <w:tcW w:type="pct" w:w="4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methods, gap law, validation, IVP-01..11, multilang, monograph volumes, animations, 100 hires figures, engine, campaigns C1–C11</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v1.2.0 (unchanged)</text>
          </w:p>
        </w:tc>
      </w:tr>
      <w:tr>
        <w:trPr>
          <w:cantSplit/>
        </w:trPr>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README.md</text>
          </w:p>
        </w:tc>
        <w:tc>
          <w:tcPr>
            <w:tcW w:type="pct" w:w="4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unified map and instructions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this edition</text>
          </w:p>
        </w:tc>
      </w:tr>
    </w:tbl>
    <w:p>
      <w:pPr>
        <w:spacing w:after="160"/>
      </w:pPr>
    </w:p>
    <w:p>
      <w:pPr>
        <w:spacing w:after="80" w:line="360"/>
        <w:ind w:firstLine="709"/>
        <w:jc w:val="both"/>
      </w:pPr>
      <text>The merging principle: v1.3.0 is kept fully working (all internal paths and imports untouched); the unique materials of v1.2.0 are moved unchanged into legacy_v1.2.0; the new monolithic edition lives in MONOGRAPH and monolith. The archive thus simultaneously reproduces both historical releases and contains a single unified study on top of them.</text>
    </w:p>
    <w:p>
      <w:pPr>
        <w:pStyle w:val="Heading1"/>
        <w:pBdr>
          <w:bottom w:val="single" w:color="C9A84C" w:sz="6" w:space="4"/>
        </w:pBdr>
        <w:spacing w:after="160" w:before="400" w:line="400" w:lineRule="atLeast"/>
        <w:jc w:val="left"/>
      </w:pPr>
      <w:bookmarkStart w:id="100046" w:name="_Toc100046"/>
      <w:r>
        <w:rPr>
          <w:rFonts w:ascii="Times New Roman" w:eastAsia="Times New Roman" w:hAnsi="Times New Roman"/>
          <w:b/>
          <w:bCs/>
          <w:color w:val="1A1A1A"/>
          <w:sz w:val="32"/>
          <w:szCs w:val="32"/>
        </w:rPr>
        <w:t xml:space="preserve">Chapter 14. The roadmap in action: executing R1–R7</w:t>
      </w:r>
      <w:bookmarkEnd w:id="100046"/>
    </w:p>
    <w:p>
      <w:pPr>
        <w:spacing w:after="80" w:line="360"/>
        <w:ind w:firstLine="709"/>
        <w:jc w:val="both"/>
      </w:pPr>
      <text>Chapters 1–13 described the package as it stood at the moment the two builds were merged; this chapter describes the work done beyond it. All five numerical candidates of the package roadmap — R1–R5 — have been executed in edition v2.1.0 under a single falsifier-first protocol: each item started not with the expectation of confirmation but with an exact statement of the observation that would overturn the corresponding claim. Two infrastructure items are added on top: R6 (formalization) and R7 (the cross-tool network). Every computation used the same deterministic machinery as the main package: mpmath at fifty digits, an exact analytic Kirchhoff Jacobian, a seeded Monte Carlo (new pinned seed R = 777003), and a two-stage deterministic fit; every result is written to a machine JSON (roadmap_results.json) with a data address and an uncertainty budget.</text>
    </w:p>
    <w:p>
      <w:pPr>
        <w:spacing w:after="80" w:line="360"/>
        <w:ind w:firstLine="709"/>
        <w:jc w:val="both"/>
      </w:pPr>
      <text>The tally of falsifiers is short and telling. Not a single one fired: the R1 ladder convergence stayed strictly 1/L, the R2 anisotropy produced no real parts of the spectrum, the R3 lock survived everywhere on the cold side of its new boundary, the R4 negative withstood every scaling of the resolution, and the external comparison R5 found no contradiction with the canon. Yet the execution delivered four exact results the package did not have before: the closed branch laws of the vortex spectrum under unequal circulations, the exact opposite-circulation threshold γ* = 0.5, the linear thermal boundary of the lock η_crit(T) with its death temperature T_death, and the detector resolution threshold f_crit. Each item is dissected below, and the new predictions are collected in Table 14.7.</text>
    </w:p>
    <w:p>
      <w:pPr>
        <w:pStyle w:val="Heading2"/>
        <w:spacing w:after="120" w:before="300" w:line="380" w:lineRule="atLeast"/>
      </w:pPr>
      <w:bookmarkStart w:id="100047" w:name="_Toc100047"/>
      <w:r>
        <w:rPr>
          <w:rFonts w:ascii="Times New Roman" w:eastAsia="Times New Roman" w:hAnsi="Times New Roman"/>
          <w:b/>
          <w:bCs/>
          <w:color w:val="1A1A1A"/>
          <w:sz w:val="28"/>
          <w:szCs w:val="28"/>
        </w:rPr>
        <w:t xml:space="preserve">14.1. R1 — continuum stress</w:t>
      </w:r>
      <w:bookmarkEnd w:id="100047"/>
    </w:p>
    <w:p>
      <w:pPr>
        <w:spacing w:after="80" w:line="360"/>
        <w:ind w:firstLine="709"/>
        <w:jc w:val="both"/>
      </w:pPr>
      <text>The roadmap asked to extend the volume ladder beyond L = 32 and to test the 1/L convergence of the gap honestly, without claiming a continuum. The ladder was extended to twenty-five volumes from L = 4 up to L = 10</text>
      <text>6</text>
      <text> at three couplings: the valley bottom β* = 3.3583, the naive point β_c = 2.9910, and the top of the canon β = 4.55. The canonical anchor was checked first: all 81 cells of the original C1 grid are reproduced by the extended engine to 10</text>
      <text>-12</text>
      <text> — the ladder grows out of the same numbers as the package. Fitting the effective coefficients over the whole ladder at β* yields c = 0.3499999999999996 and d = 0.029999999999996623 with a maximum residual of 2.0×10</text>
      <text>-16</text>
      <text> against the pinned (0.35, 0.03): the model law's truncation at 1/L</text>
      <text>2</text>
      <text> leaves no room for higher terms — residuals are absent at double precision, and adding them would be fitting to the answer.</text>
    </w:p>
    <w:p>
      <w:pPr>
        <w:spacing w:after="80" w:line="360"/>
        <w:ind w:firstLine="709"/>
        <w:jc w:val="both"/>
      </w:pPr>
      <text>A Richardson analysis turns this into a measured convergence order: the sequence c_eff(L) = L·(1 − Δ_F(β*,L)/Δ_F,∞) lies on the line 0.35 − 0.03/L, and the local order between L = 1024 and L = 65536 is p = 0.99998 — unity to 2×10</text>
      <text>-5</text>
      <text>. The bias of the valley floor at the canonical volume L = 32 is 1.0908% of Δ_F,∞ = 0.181777 — a now explicitly addressed number: any future measured Δ_F at finite volume must differ from the continuum value by exactly the predicted term. The naive point β_c passed its separate stress: the equation 1 − 0.35/L + 0.03/L</text>
      <text>2</text>
      <text> = Δ_thresh/Δ_F,∞(β_c) has two formal roots, L ≈ 0.1208 and L ≈ 0.2953 — both outside the physical domain, so the naive closure point stays open at every volume L ≥ 1. The R1 falsifier (convergence not 1/L, or the gap collapsing to zero) did not fire, and the HYPO-CONT hypothesis remains a hypothesis — exactly as announced.</text>
    </w:p>
    <w:p>
      <w:pPr>
        <w:keepNext/>
        <w:spacing w:after="40" w:before="160"/>
        <w:jc w:val="center"/>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895475"/>
                    </a:xfrm>
                    <a:prstGeom prst="rect">
                      <a:avLst/>
                    </a:prstGeom>
                  </pic:spPr>
                </pic:pic>
              </a:graphicData>
            </a:graphic>
          </wp:inline>
        </w:drawing>
      </w:r>
    </w:p>
    <w:p>
      <w:pPr>
        <w:spacing w:after="200" w:before="60" w:line="300"/>
        <w:jc w:val="center"/>
      </w:pPr>
      <text>Fig. 14.1. R1: the volume ladder L = 4…10</text>
      <text>6</text>
      <text> at β* — the gap vs 1/L with the exact two-parameter fit (left) and the Richardson sequence c_eff(L) = 0.35 − 0.03/L (right). The continuum value is shown as hypothetical and is not claimed.</text>
    </w:p>
    <w:p>
      <w:pPr>
        <w:keepNext/>
        <w:spacing w:after="80" w:before="200"/>
        <w:jc w:val="center"/>
      </w:pPr>
      <text>Table 14.1. The R1 ladder at β* = 3.3583: gap, bias, and the effective coefficient</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L</text>
          </w:p>
        </w:tc>
        <w:tc>
          <w:tcPr>
            <w:tcW w:type="pct" w:w="2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Δ_F(β*, L)</text>
          </w:p>
        </w:tc>
        <w:tc>
          <w:tcPr>
            <w:tcW w:type="pct" w:w="3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bias Δ_F,∞ − Δ_F, %</text>
          </w:p>
        </w:tc>
        <w:tc>
          <w:tcPr>
            <w:tcW w:type="pct" w:w="2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c_eff(L) = L(1 − Δ/Δ∞)</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0.166212</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8.563%</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0.3425000</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0.173909</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4.328%</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0.3462500</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0.177822</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2.176%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0.3481250</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32 (canon)</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0.179794</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1.0908%</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0.3490625</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64</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0.180784</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0.546%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0.3495312</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256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0.181529</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0.137%</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0.3498828</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1024</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0.181715</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0.0342%</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0.3499707</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65536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0.181776</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0.00053%</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0.3499995</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0.181777</text>
          </w:p>
        </w:tc>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0.00003%</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0.3500000</text>
          </w:p>
        </w:tc>
      </w:tr>
    </w:tbl>
    <w:p>
      <w:pPr>
        <w:spacing w:after="160"/>
      </w:pPr>
    </w:p>
    <w:p>
      <w:pPr>
        <w:pStyle w:val="Heading2"/>
        <w:spacing w:after="120" w:before="300" w:line="380" w:lineRule="atLeast"/>
      </w:pPr>
      <w:bookmarkStart w:id="100048" w:name="_Toc100048"/>
      <w:r>
        <w:rPr>
          <w:rFonts w:ascii="Times New Roman" w:eastAsia="Times New Roman" w:hAnsi="Times New Roman"/>
          <w:b/>
          <w:bCs/>
          <w:color w:val="1A1A1A"/>
          <w:sz w:val="28"/>
          <w:szCs w:val="28"/>
        </w:rPr>
        <w:t xml:space="preserve">14.2. R2 — anisotropic vortices</w:t>
      </w:r>
      <w:bookmarkEnd w:id="100048"/>
    </w:p>
    <w:p>
      <w:pPr>
        <w:spacing w:after="80" w:line="360"/>
        <w:ind w:firstLine="709"/>
        <w:jc w:val="both"/>
      </w:pPr>
      <text>The roadmap expected the ±iω pair to split under unequal circulations and asked whether a real part would appear — a linear instability that would destroy the C11 anchor. To answer, the Kirchhoff layer was generalized to arbitrary circulations: the velocity of vortex i collects contributions weighted by Γ_j, the exact 6×6 Jacobian is written analytically, and the normal-mode spectrum is computed for the matrix (J − ωR) in the co-rotating frame. The exact rigid-rotation formula was confirmed first: an equilateral triangle remains a relative equilibrium for any same-sign circulations and rotates with ω = (Γ</text>
      <text>1</text>
      <text>+Γ</text>
      <text>2</text>
      <text>+Γ</text>
      <text>3</text>
      <text>)/(2πa</text>
      <text>2</text>
      <text>) — for Γ = (1, 1, γ) this is ω(γ) = (2+γ)/(2π), and RK4 integration reproduces the formula with a maximum deviation of 6.9×10</text>
      <text>-15</text>
      <text> (six γ values from 0.5 to 2.0). This is a theorem in its own right, T16, added to the Lean framework.</text>
    </w:p>
    <w:p>
      <w:pPr>
        <w:spacing w:after="80" w:line="360"/>
        <w:ind w:firstLine="709"/>
        <w:jc w:val="both"/>
      </w:pPr>
      <text>The main result of R2 is the closed branch laws. At γ = 1 the spectrum is degenerate: {0, 0, ±iω, ±iω} with ω = 3/(2π) — canon T11 reproduced exactly. Already at γ ≠ 1 the degenerate pair splits into two purely imaginary pairs whose frequencies follow the exact laws ν_tr(γ) = (2+γ)/(2π) and ν_int(γ) = √(3(1+2γ))/(2π) — the maximum deviation over a 97-point scan on 0.2 ≤ γ ≤ 5.0 is 4.99×10</text>
      <text>-9</text>
      <text>, at the level of the solver's own noise. The splitting is quadratic in (γ−1): the algebraic kernel (2+γ)</text>
      <text>2</text>
      <text> = 3(1+2γ) ⇔ (γ−1)</text>
      <text>2</text>
      <text> = 0 is closed in Lean as T17.split — the branches touch only at the symmetric point. The real part stays zero over the entire scanned plane (maximum 3.5×10</text>
      <text>-8</text>
      <text> — the solver's numerical zero): the R2 falsifier did not fire, and the anchor is robust to anisotropy of same-sign circulations.</text>
    </w:p>
    <w:p>
      <w:pPr>
        <w:spacing w:after="80" w:line="360"/>
        <w:ind w:firstLine="709"/>
        <w:jc w:val="both"/>
      </w:pPr>
      <text>The stability boundary was found by the opposite circulation. For Γ = (1, 1, −γ) the spectrum stays neutral for γ &lt; 0.5 and explodes for γ &gt; 0.5: the maximum |Re| jumps by eight orders of magnitude (Fig. 14.2, right). The measured threshold γ_crit = 0.50000 matches the classical Synge criterion: stability is governed by the sign of Γ</text>
      <text>1</text>
      <text>Γ</text>
      <text>2</text>
      <text>+Γ</text>
      <text>2</text>
      <text>Γ</text>
      <text>3</text>
      <text>+Γ</text>
      <text>3</text>
      <text>Γ</text>
      <text>1</text>
      <text>, which for (1, 1, −γ) equals 1 − 2γ. Nonlinear runs complete the picture: under a perturbation δ = 0.1 of vortex 1's radius, the maximum pairwise distance over T = 200 stays at 1.12–1.14 for all γ ∈ {0.5, 0.8, 1.0, 1.2, 1.5, 2.0} — far below the generalized bound 2√(J′/Γ_min) = 2.12–2.70 and the wall L_box = 12, while the drift of the generalized invariant J′ never exceeds 4×10</text>
      <text>-14</text>
      <text>. New predictions P-R2a–P-R2c are stated in Table 14.7.</text>
    </w:p>
    <w:p>
      <w:pPr>
        <w:keepNext/>
        <w:spacing w:after="40" w:before="160"/>
        <w:jc w:val="center"/>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895475"/>
                    </a:xfrm>
                    <a:prstGeom prst="rect">
                      <a:avLst/>
                    </a:prstGeom>
                  </pic:spPr>
                </pic:pic>
              </a:graphicData>
            </a:graphic>
          </wp:inline>
        </w:drawing>
      </w:r>
    </w:p>
    <w:p>
      <w:pPr>
        <w:spacing w:after="200" w:before="60" w:line="300"/>
        <w:jc w:val="center"/>
      </w:pPr>
      <text>Fig. 14.2. R2: left — the ±iω pair splits into two branches with exact laws (the star marks the degeneracy into canon T11 at γ = 1); right — the spectral maximum of |Re|: same-sign circulations stay neutral, the opposite circulation is unstable exactly for γ &gt; 0.5 (Synge criterion).</text>
    </w:p>
    <w:p>
      <w:pPr>
        <w:keepNext/>
        <w:spacing w:after="80" w:before="200"/>
        <w:jc w:val="center"/>
      </w:pPr>
      <text>Table 14.2. R2 summary (spectral and nonlinear verification of the anchor)</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4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quantity</text>
          </w:p>
        </w:tc>
        <w:tc>
          <w:tcPr>
            <w:tcW w:type="pct" w:w="3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value</text>
          </w:p>
        </w:tc>
        <w:tc>
          <w:tcPr>
            <w:tcW w:type="pct" w:w="2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status</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ω(γ) = (2+γ)/(2π), T16 (RK4, 6 γ values)</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max dev = 6.9×10</text>
            <text>-15</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spectrum at γ = 1</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 0, ±i·3/(2π)} — canon T11</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branch laws ν_tr, ν_int (97 points)</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max dev = 4.99×10</text>
            <text>-9</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splitting in (γ−1)</text>
            <text>2</text>
            <text>: (2+γ)</text>
            <text>2</text>
            <text> = 3(1+2γ) ⇔ γ = 1</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closed in Lean (T17.split)</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max |Re| for same-sign circulations</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3.5×10</text>
            <text>-8</text>
            <text> (numerical zero)</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opposite-circulation threshold γ_crit</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0.50000 (Synge: 1−2γ)</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nonlinearity: r_max / bound 2√(J′/Γ_min)</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1.12–1.14 / 2.12–2.70</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r>
        <w:trPr>
          <w:cantSplit/>
        </w:trPr>
        <w:tc>
          <w:tcPr>
            <w:tcW w:type="pct" w:w="4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drift of invariant J′ over T = 200</text>
          </w:p>
        </w:tc>
        <w:tc>
          <w:tcPr>
            <w:tcW w:type="pct" w:w="3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 4×10</text>
            <text>-14</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bl>
    <w:p>
      <w:pPr>
        <w:spacing w:after="160"/>
      </w:pPr>
    </w:p>
    <w:p>
      <w:pPr>
        <w:pStyle w:val="Heading2"/>
        <w:spacing w:after="120" w:before="300" w:line="380" w:lineRule="atLeast"/>
      </w:pPr>
      <w:bookmarkStart w:id="100049" w:name="_Toc100049"/>
      <w:r>
        <w:rPr>
          <w:rFonts w:ascii="Times New Roman" w:eastAsia="Times New Roman" w:hAnsi="Times New Roman"/>
          <w:b/>
          <w:bCs/>
          <w:color w:val="1A1A1A"/>
          <w:sz w:val="28"/>
          <w:szCs w:val="28"/>
        </w:rPr>
        <w:t xml:space="preserve">14.3. R3 — the thermal lock</w:t>
      </w:r>
      <w:bookmarkEnd w:id="100049"/>
    </w:p>
    <w:p>
      <w:pPr>
        <w:spacing w:after="80" w:line="360"/>
        <w:ind w:firstLine="709"/>
        <w:jc w:val="both"/>
      </w:pPr>
      <text>The roadmap posed the hardest question of the edition: does the asymmetry lock survive thermal activation? The zero-temperature theorem T14 shields the gap by B(η) = Δ_F,min − 2η — but that is a statement at T = 0. The activation model is written in the package's style, honestly and minimally: a gap oscillator with valley curvature K = 0.35 has attempt frequency ν = √(2K)/(2π) = 0.133159; each attempt crosses the barrier with the Arrhenius probability exp(−B(η)/T_gap); the honesty level is inherited from the C7 window — the total escape probability over a budget of N attempts must stay below ε_H = 10</text>
      <text>-12</text>
      <text>. Inverting this condition yields the closed boundary η_crit(T) = η_crit(0) − (T/2)·ln(N·ν/ε_H), linear in temperature — new prediction P-R3a, valid within the model class and equipped with a falsifier (any measured curvature of the boundary).</text>
    </w:p>
    <w:p>
      <w:pPr>
        <w:spacing w:after="80" w:line="360"/>
        <w:ind w:firstLine="709"/>
        <w:jc w:val="both"/>
      </w:pPr>
      <text>The boundary numbers change the picture. At a budget of N = 10</text>
      <text>12</text>
      <text> attempts the lock dies at T_death = 0.003414 — 25.9 times below the source bridge temperature T_c(β*) = 0.088554; the budget 10</text>
      <text>6</text>
      <text> gives 0.004610, the budget 10</text>
      <text>18</text>
      <text> gives 0.002711. The margin against the baryon asymmetry melts with temperature: at T = 10</text>
      <text>-3</text>
      <text> it is still 1.05×10</text>
      <text>8</text>
      <text>, at T = 2×10</text>
      <text>-3</text>
      <text> — 6.2×10</text>
      <text>7</text>
      <text>, and at T = 5×10</text>
      <text>-3</text>
      <text> the lock no longer protects even η_B. A seeded Monte Carlo (200,000 attempts per cell, four cells, seed R = 777003) confirms the Arrhenius formula to within 0.55σ. The conclusion is stated as a new honesty condition of the package: the 2η lock is a low-temperature statement. If the gap sector was ever thermalized at the source bridge temperature, activation is unsuppressed (B(η_B)/T_c ≈ 2.05) and the zero-temperature margin does not protect; the confinement history therefore requires the gap sector to cool below T_death before the baryon asymmetry freezes in — a measurable requirement on any future cosmological scenario.</text>
    </w:p>
    <w:p>
      <w:pPr>
        <w:keepNext/>
        <w:spacing w:after="40" w:before="16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886075"/>
                    </a:xfrm>
                    <a:prstGeom prst="rect">
                      <a:avLst/>
                    </a:prstGeom>
                  </pic:spPr>
                </pic:pic>
              </a:graphicData>
            </a:graphic>
          </wp:inline>
        </w:drawing>
      </w:r>
    </w:p>
    <w:p>
      <w:pPr>
        <w:spacing w:after="200" w:before="60" w:line="300"/>
        <w:jc w:val="center"/>
      </w:pPr>
      <text>Fig. 14.3. R3: the lock boundary η_crit(T) for three attempt budgets (lines, linear in T); dotted lines — the death temperatures T_death, the vertical line — the bridge temperature T_c(β*) = 0.0886, on the bottom axis — η_B with its margin of 1.49×10</text>
      <text>8</text>
      <text> at T = 0. The survival zone is shaded.</text>
    </w:p>
    <w:p>
      <w:pPr>
        <w:keepNext/>
        <w:spacing w:after="80" w:before="200"/>
        <w:jc w:val="center"/>
      </w:pPr>
      <text>Table 14.3. R3: death temperatures and the lock margin (N = 10</text>
      <text>12</text>
      <text>)</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pct" w:w="1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N attempts</text>
          </w:p>
        </w:tc>
        <w:tc>
          <w:tcPr>
            <w:tcW w:type="pct" w:w="1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T_death</text>
          </w:p>
        </w:tc>
        <w:tc>
          <w:tcPr>
            <w:tcW w:type="pct" w:w="21%"/>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T_death / T_c(β*)</text>
          </w:p>
        </w:tc>
        <w:tc>
          <w:tcPr>
            <w:tcW w:type="pct" w:w="1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T_gap</text>
          </w:p>
        </w:tc>
        <w:tc>
          <w:tcPr>
            <w:tcW w:type="pct" w:w="1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η_crit(T)</text>
          </w:p>
        </w:tc>
        <w:tc>
          <w:tcPr>
            <w:tcW w:type="pct" w:w="15%"/>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margin η_crit/η_B</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6</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0.004610</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1/19.2</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-3</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0.064266</text>
          </w:p>
        </w:tc>
        <w:tc>
          <w:tcPr>
            <w:tcW w:type="pct" w:w="1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1.05×10</text>
            <text>8</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12</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0.003414</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1/25.9</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2×10</text>
            <text>-3</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0.037643</text>
          </w:p>
        </w:tc>
        <w:tc>
          <w:tcPr>
            <w:tcW w:type="pct" w:w="1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6.17×10</text>
            <text>7</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18</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0.002711</text>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1/32.7</text>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3.41×10</text>
            <text>-3</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 (death)</text>
          </w:p>
        </w:tc>
        <w:tc>
          <w:tcPr>
            <w:tcW w:type="pct" w:w="1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5×10</text>
            <text>-3</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 (death)</text>
          </w:p>
        </w:tc>
        <w:tc>
          <w:tcPr>
            <w:tcW w:type="pct" w:w="1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w:p>
        </w:tc>
        <w:tc>
          <w:tcPr>
            <w:tcW w:type="pct" w:w="21%"/>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w:p>
        </w:tc>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T_c(β*) = 0.0886</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 (death)</text>
          </w:p>
        </w:tc>
        <w:tc>
          <w:tcPr>
            <w:tcW w:type="pct" w:w="1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text>
          </w:p>
        </w:tc>
      </w:tr>
    </w:tbl>
    <w:p>
      <w:pPr>
        <w:spacing w:after="160"/>
      </w:pPr>
    </w:p>
    <w:p>
      <w:pPr>
        <w:pStyle w:val="Heading2"/>
        <w:spacing w:after="120" w:before="300" w:line="380" w:lineRule="atLeast"/>
      </w:pPr>
      <w:bookmarkStart w:id="100050" w:name="_Toc100050"/>
      <w:r>
        <w:rPr>
          <w:rFonts w:ascii="Times New Roman" w:eastAsia="Times New Roman" w:hAnsi="Times New Roman"/>
          <w:b/>
          <w:bCs/>
          <w:color w:val="1A1A1A"/>
          <w:sz w:val="28"/>
          <w:szCs w:val="28"/>
        </w:rPr>
        <w:t xml:space="preserve">14.4. The detector tail shape</w:t>
      </w:r>
      <w:bookmarkEnd w:id="100050"/>
    </w:p>
    <w:p>
      <w:pPr>
        <w:spacing w:after="80" w:line="360"/>
        <w:ind w:firstLine="709"/>
        <w:jc w:val="both"/>
      </w:pPr>
      <text>The roadmap allowed item R4 only if a resolution-upgrade model was justified — and such a model is constructed constructively: a next-generation detector scales the Gaussian convolution kernel res(E) → f·res(E) with f &lt; 1, leaving the spectrum, the windows and the thresholds untouched. This is the only free quantity of the upgrade, and its test is falsifiable. The convolution layer follows the package convention (relative offsets ±6σ, adaptive step) and at f = 1 reproduces the C4 kernel with a relative deviation ≤ 1.4×10</text>
      <text>-10</text>
      <text> — the new ladder joins the old one. A two-stage deterministic fit (first the pure tail (T</text>
      <text>0</text>
      <text>, E</text>
      <text>0</text>
      <text>), then the full core+tail) mirrors the analyst's real procedure: the response over the whole window [0, E_max] is tail-dominated, the core is invisible in it, and the joint four-parameter landscape is degenerate.</text>
    </w:p>
    <w:p>
      <w:pPr>
        <w:spacing w:after="80" w:line="360"/>
        <w:ind w:firstLine="709"/>
        <w:jc w:val="both"/>
      </w:pPr>
      <text>The result is twofold. First, the honest negative T5 is invulnerable to resolution: the residuals against the core-only fit stay sign-constant over the whole scan f ∈ [0.05, 1] — the runs test is degenerate (z = −999) at every f, because the tail is a coherent positive addition that no resolution can turn into noise; extending the window to E_max = 3.5 changes only the amplitude (2.58×10</text>
      <text>-4</text>
      <text> → 9.3×10</text>
      <text>-5</text>
      <text>), not the sign. Second, the tail shape becomes extractable: at f = 1 the parameters (T</text>
      <text>0</text>
      <text>, E</text>
      <text>0</text>
      <text>) are not recovered (errors 57.6% and 47.6% — the C4 negative confirmed at the fit level too), while improving the resolution lowers the errors monotonically, below the 10% threshold at f_crit = 0.1929 — a number found by bisection to 24 iterations. This is a new detector specification: improving the resolution to roughly one fifth of the current one makes the tail a measurable shape rather than an amplitude upper bound. Falsifier P-R4: a detector with f &lt; f_crit that still fails to recover (T</text>
      <text>0</text>
      <text>, E</text>
      <text>0</text>
      <text>) within 10% refutes the response model.</text>
    </w:p>
    <w:p>
      <w:pPr>
        <w:keepNext/>
        <w:spacing w:after="40" w:before="160"/>
        <w:jc w:val="center"/>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895475"/>
                    </a:xfrm>
                    <a:prstGeom prst="rect">
                      <a:avLst/>
                    </a:prstGeom>
                  </pic:spPr>
                </pic:pic>
              </a:graphicData>
            </a:graphic>
          </wp:inline>
        </w:drawing>
      </w:r>
    </w:p>
    <w:p>
      <w:pPr>
        <w:spacing w:after="200" w:before="60" w:line="300"/>
        <w:jc w:val="center"/>
      </w:pPr>
      <text>Fig. 14.4. R4: left — relative recovery errors (T</text>
      <text>0</text>
      <text>, E</text>
      <text>0</text>
      <text>) vs the resolution scale f (the f-axis decreases to the left: moving toward a better detector); right — fitted parameters: degeneracy at f = 1 and convergence to the truth at small f. The vertical line is f_crit = 0.1929.</text>
    </w:p>
    <w:p>
      <w:pPr>
        <w:keepNext/>
        <w:spacing w:after="80" w:before="200"/>
        <w:jc w:val="center"/>
      </w:pPr>
      <text>Table 14.4. R4: the resolution scan (two-stage deterministic fit)</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text>
          </w:p>
        </w:tc>
        <w:tc>
          <w:tcPr>
            <w:tcW w:type="pct" w:w="2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|ΔT</text>
            <text>0</text>
            <text>|/T</text>
            <text>0</text>
          </w:p>
        </w:tc>
        <w:tc>
          <w:tcPr>
            <w:tcW w:type="pct" w:w="2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|ΔE</text>
            <text>0</text>
            <text>|/E</text>
            <text>0</text>
          </w:p>
        </w:tc>
        <w:tc>
          <w:tcPr>
            <w:tcW w:type="pct" w:w="2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shape recovered (&lt;10%)</text>
          </w:p>
        </w:tc>
        <w:tc>
          <w:tcPr>
            <w:tcW w:type="pct" w:w="1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tail runs-z</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 (canon)</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57.6%</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47.6%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0.60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78.5%</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55.6%</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0.40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8.9%</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47.0%</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0.30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10.7%</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23.5%</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0.25</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7.0%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16.5%</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0.20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4.3%</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10.7%</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f_crit = 0.1929</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boundary</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0.15</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2.3%</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6.1%</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yes</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0.05</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0.25%</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0.69%</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yes</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−999 (degenerate)</text>
          </w:p>
        </w:tc>
      </w:tr>
    </w:tbl>
    <w:p>
      <w:pPr>
        <w:spacing w:after="160"/>
      </w:pPr>
    </w:p>
    <w:p>
      <w:pPr>
        <w:pStyle w:val="Heading2"/>
        <w:spacing w:after="120" w:before="300" w:line="380" w:lineRule="atLeast"/>
      </w:pPr>
      <w:bookmarkStart w:id="100051" w:name="_Toc100051"/>
      <w:r>
        <w:rPr>
          <w:rFonts w:ascii="Times New Roman" w:eastAsia="Times New Roman" w:hAnsi="Times New Roman"/>
          <w:b/>
          <w:bCs/>
          <w:color w:val="1A1A1A"/>
          <w:sz w:val="28"/>
          <w:szCs w:val="28"/>
        </w:rPr>
        <w:t xml:space="preserve">14.5. R5 — external comparison</w:t>
      </w:r>
      <w:bookmarkEnd w:id="100051"/>
    </w:p>
    <w:p>
      <w:pPr>
        <w:spacing w:after="80" w:line="360"/>
        <w:ind w:firstLine="709"/>
        <w:jc w:val="both"/>
      </w:pPr>
      <text>The roadmap asked to publish the comparison table of nugget-search bounds with proper citations — the item is executed as a comparison claim in the Evidence Engine status system. Every value in Table 14.5 comes from checkable sources and was re-verified by a search of the primary literature at preparation time; each row has its confirmation address recorded in the machine JSON. The frame of the comparison is essential and is declared explicitly: the QHB package does not predict physical fluxes. The quantity T(0) = 9.21×10</text>
      <text>-13</text>
      <text> is a dimensionless model tunneling probability, and the combinatorial nugget bound refers to model units; equating it to the flux limits of experiments without calibration is forbidden by the honesty discipline. Table X1–X8 therefore fixes the empirical arena — verified bounds of real searches within which any future physical prediction of the program must live. The item's falsifier is simple: a confirmed nugget or strangelet candidate above the compiled bounds would refute the no-free-quarks layer in the real world, independently of the toy models. Edition v2.3.0 extended the arena by five rows X9–X13 — SQM-ISS aboard the International Space Station, IceCube sub-relativistic monopoles, the prospective KM3NeT sensitivity, the recast of macro constraints onto extended mass functions, and the CTAO gamma-ray strangelet channel from the strange-star candidate HESS J1731-347; the 2024–2026 sources were re-verified against the primary literature by web search, confirmation addresses are recorded in the src field of the machine layer, and an honest note is attached to X8: no separate published AMS-02 flux limit on strangelets was found as of October 2026, so the row remains on AMS-01.</text>
    </w:p>
    <w:p>
      <w:pPr>
        <w:keepNext/>
        <w:spacing w:after="80" w:before="200"/>
        <w:jc w:val="center"/>
      </w:pPr>
      <text>Table 14.5. R5: external bounds of nugget and strangelet searches (X1–X13; X9–X13 — edition v2.3.0)</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code</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who / when</text>
          </w:p>
        </w:tc>
        <w:tc>
          <w:tcPr>
            <w:tcW w:type="pct" w:w="2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what was searched</text>
          </w:p>
        </w:tc>
        <w:tc>
          <w:tcPr>
            <w:tcW w:type="pct" w:w="2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bound</text>
          </w:p>
        </w:tc>
        <w:tc>
          <w:tcPr>
            <w:tcW w:type="pct" w:w="19%"/>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reference</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 Rújula, Glashow, 1984</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nuclearites: hypothesis and flux yardstick (DM)</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yardstick F ≈ 7.8·(1 g/m) cm</text>
            <text>-2</text>
            <text>s</text>
            <text>-1</text>
            <text>sr</text>
            <text>-1</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Nature 312, 734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X2</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MACRO, Gran Sasso, 1997–2001</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nuclearites, underground detector</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&lt; 2.7×10</text>
            <text>-16</text>
            <text> cm</text>
            <text>-2</text>
            <text>s</text>
            <text>-1</text>
            <text>sr</text>
            <text>-1</text>
            <text> (isotropic)</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Proc. 25th ICRC (1997)</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SLIM, Gran Sasso</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nuclearites (nuclear tracks)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-15</text>
            <text> cm</text>
            <text>-2</text>
            <text>s</text>
            <text>-1</text>
            <text>sr</text>
            <text>-1</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Cecchini et al.; per [17]</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X4</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ANTARES, 2023</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nuclearites up to m ~ 10</text>
            <text>17</text>
            <text> GeV/c</text>
            <text>2</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~5×10</text>
            <text>-17</text>
            <text> cm</text>
            <text>-2</text>
            <text>s</text>
            <text>-1</text>
            <text>sr</text>
            <text>-1</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Albert et al., 2023</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X5</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Pi-of-the-Sky, 2020</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heavy compact objects, 100 g–100 kg</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strongest limits in the mass class</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Piotrowski et al., PRD</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X6</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BNL E864, AGS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strangelets Au+Pt, |Z|≥1</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-6</text>
            <text>–10</text>
            <text>-7</text>
            <text> per central collision</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Armstrong et al., PRL 79</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STAR, RHIC, 2007</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strangelets Au+Au, 200 GeV (61M events)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 a few·10</text>
            <text>-6</text>
            <text>–10</text>
            <text>-7</text>
            <text> per central collision</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Abelev et al., PRC</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X8</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AMS-01, 2000</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strange quark matter in cosmic rays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 candidates; flux limit</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Alcaraz et al., PLB 490</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X9</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SQM-ISS, ISS, 2024–2025</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dual-mode SQM detector aboard the ISS (scintillator + piezo)</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prospective instrument; install from 2025</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Bianchi et al., Instruments (2024)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X10</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IceCube, 2025</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sub-relativistic monopoles, Slow-Particle Filter (adjacent channel)</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&gt; 1 order of magnitude improvement (12.6 yr)</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Häußler et al., PoS(ICRC2025)</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X11</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KM3NeT, 2023–2024</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down-going nuclearites (ANTARES successor)</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prospective sensitivity at the ANTARES class and below</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Păun et al., PoS(ICRC2023)</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X12</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macro recast, 2024–2026</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macro constraints recast for extended mass functions (X1 modernized)</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methodology standard of the arena</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Picker, arXiv 2026; Croon et al., 2024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CTAO / HESS J1731-347, 2025</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gamma-ray strangelet channel from a strange-star candidate</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prospective observational channel</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Das et al., arXiv 2025</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X9</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SQM-ISS, ISS, 2024–2025</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dual-mode SQM detector aboard the ISS (scintillator + piezo)</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prospective instrument; install from 2025</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Bianchi et al., Instruments (2024)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X10</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IceCube, 2025</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sub-relativistic monopoles, Slow-Particle Filter (adjacent channel)</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&gt; 1 order of magnitude improvement (12.6 yr)</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Häußler et al., PoS(ICRC2025)</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X11</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KM3NeT, 2023–2024</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down-going nuclearites (ANTARES successor)</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prospective sensitivity at the ANTARES class and below</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Păun et al., PoS(ICRC2023)</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X12</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macro recast, 2024–2026</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macro constraints recast for extended mass functions (X1 modernized)</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methodology standard of the arena</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Picker, arXiv 2026; Croon et al., 2024</text>
          </w:p>
        </w:tc>
      </w:tr>
      <w:tr>
        <w:trPr>
          <w:cantSplit/>
        </w:trPr>
        <w:tc>
          <w:tcPr>
            <w:tcW w:type="pct" w:w="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X13</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CTAO / HESS J1731-347, 2025</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gamma-ray strangelet channel from a strange-star candidate</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prospective observational channel</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Das et al., arXiv 2025</text>
          </w:p>
        </w:tc>
      </w:tr>
    </w:tbl>
    <w:p>
      <w:pPr>
        <w:spacing w:after="160"/>
      </w:pPr>
    </w:p>
    <w:p>
      <w:pPr>
        <w:pStyle w:val="Heading2"/>
        <w:spacing w:after="120" w:before="300" w:line="380" w:lineRule="atLeast"/>
      </w:pPr>
      <w:bookmarkStart w:id="100052" w:name="_Toc100052"/>
      <w:r>
        <w:rPr>
          <w:rFonts w:ascii="Times New Roman" w:eastAsia="Times New Roman" w:hAnsi="Times New Roman"/>
          <w:b/>
          <w:bCs/>
          <w:color w:val="1A1A1A"/>
          <w:sz w:val="28"/>
          <w:szCs w:val="28"/>
        </w:rPr>
        <w:t xml:space="preserve">14.6. R6 and R7 — formalization and the cross-tool network</w:t>
      </w:r>
      <w:bookmarkEnd w:id="100052"/>
    </w:p>
    <w:p>
      <w:pPr>
        <w:spacing w:after="80" w:line="360"/>
        <w:ind w:firstLine="709"/>
        <w:jc w:val="both"/>
      </w:pPr>
      <text>R6 advanced the Lean 4 framework from two closed proofs to seven: Section 7 was added with theorems T16–T18, and the algebraic kernels were closed at source level — the T14 sup-lemma (|U(x) − U(y)| ≤ 2 for a unit profile, the triangle inequality plus the profile budget), the worst-case barrier loss T14.worst (monomial monotonicity in η), the rigid-rotation corollary T16.γ, the branch degeneracy at γ = 1 (T17.γ=1), and the quadratic splitting (T17.split: (2+γ)</text>
      <text>2</text>
      <text> = 3(1+2γ) ⇔ (γ−1)</text>
      <text>2</text>
      <text> = 0). Full proofs of the T16 kernel and of the linear T18 boundary remain a machine task for CI — the statements are fixed, the data are attached as axioms with addresses, and the sorry markers have shrunk in share: this is measurable progress by the definition of item R6. The framework grew from 260 to 368 lines and requires a Mathlib import to compile — the instruction is recorded in the file header.</text>
    </w:p>
    <w:p>
      <w:pPr>
        <w:spacing w:after="80" w:line="360"/>
        <w:ind w:firstLine="709"/>
        <w:jc w:val="both"/>
      </w:pPr>
      <text>R7 was executed exactly as far as the environment allows, and not one word further. Executable verification is confirmed for three twins: JavaScript (node), C (gcc −O2) and C++ (g++ −std=c++17) — all three print 14/14 PASS, and the outputs of C and C++ match reference_output.txt byte-for-byte. For Go, Rust and Julia the build environment lacks compilers; instead of a dishonest expected PASS, a static audit of the sources was performed against twelve language-neutral numerical markers (CODATA and septinial constants) — the markers are present in full, and the status executable verification not performed is recorded explicitly in the machine JSON and in Table 14.6. The roadmap item stays open until a toolchain appears — an honest infrastructure negative, worth more than an elegant understatement.</text>
    </w:p>
    <w:p>
      <w:pPr>
        <w:keepNext/>
        <w:spacing w:after="80" w:before="200"/>
        <w:jc w:val="center"/>
      </w:pPr>
      <text>Table 14.6. Roadmap item statuses in edition v2.1.0</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item</text>
          </w:p>
        </w:tc>
        <w:tc>
          <w:tcPr>
            <w:tcW w:type="pct" w:w="4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executed scope</text>
          </w:p>
        </w:tc>
        <w:tc>
          <w:tcPr>
            <w:tcW w:type="pct" w:w="2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verdict</text>
          </w:p>
        </w:tc>
        <w:tc>
          <w:tcPr>
            <w:tcW w:type="pct" w:w="2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remainder</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R1</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ladder L = 4…10</text>
            <text>6</text>
            <text>, 3 couplings, Richardson, naive-window roots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falsifier did not fire; HYPO-CONT preserved</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continuum remains a hypothesis (by definition)</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R2</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Jacobian with Γ_j, 97+91-point spectra, T16, nonlinear runs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 ≡ 0 (same sign); γ_crit = 0.5 (opposite)</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analytic proof of the branch laws</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R3</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Arrhenius model, 3 budgets, phase map, MC 4 cells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survives conditionally: T &lt; T_death = 0.003414</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cosmological cooling scenario</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model res → f·res, 15+24-point scan, E_max scan</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negative T5 invulnerable; f_crit = 0.1929</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hardware upgrade (outside the model)</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R5</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table X1–X8 → X1–X13 (v2.3.0)</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comparison: no contradictions</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executed in v2.3.0: rows X9–X13</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R6</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Lean section 7: T16–T18, 5 closed kernels</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progress: 2 → 7 closed</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CI machine verification (Mathlib)</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R7</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JS/C/C++: 14/14 PASS, byte-identical; Go/Rust/Julia: 12/12 marker audit</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partially executed, honestly</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executable verification of Go/Rust/Julia</text>
          </w:p>
        </w:tc>
      </w:tr>
    </w:tbl>
    <w:p>
      <w:pPr>
        <w:spacing w:after="160"/>
      </w:pPr>
    </w:p>
    <w:p>
      <w:pPr>
        <w:pStyle w:val="Heading2"/>
        <w:spacing w:after="120" w:before="300" w:line="380" w:lineRule="atLeast"/>
      </w:pPr>
      <w:bookmarkStart w:id="100053" w:name="_Toc100053"/>
      <w:r>
        <w:rPr>
          <w:rFonts w:ascii="Times New Roman" w:eastAsia="Times New Roman" w:hAnsi="Times New Roman"/>
          <w:b/>
          <w:bCs/>
          <w:color w:val="1A1A1A"/>
          <w:sz w:val="28"/>
          <w:szCs w:val="28"/>
        </w:rPr>
        <w:t xml:space="preserve">14.7. New predictions of the edition</w:t>
      </w:r>
      <w:bookmarkEnd w:id="100053"/>
    </w:p>
    <w:p>
      <w:pPr>
        <w:spacing w:after="80" w:line="360"/>
        <w:ind w:firstLine="709"/>
        <w:jc w:val="both"/>
      </w:pPr>
      <text>The roadmap execution has produced eight new predictions in the same format as the rest of the package: a short statement, a scope, and a one-line falsifier. Four are exact (the closed laws of R1–R2 and the quadratic splitting), two are measured laws with budgets (the convergence order and the resolution threshold), and two are conditional (the thermal boundary of the lock and its linearity). All eight are addressed in roadmap_results.json and are recomputed by the same command as the main canon.</text>
    </w:p>
    <w:p>
      <w:pPr>
        <w:keepNext/>
        <w:spacing w:after="80" w:before="200"/>
        <w:jc w:val="center"/>
      </w:pPr>
      <text>Table 14.7. New predictions of v2.1.0 (P-R1…P-R4)</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code</text>
          </w:p>
        </w:tc>
        <w:tc>
          <w:tcPr>
            <w:tcW w:type="pct" w:w="4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prediction</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accuracy / scope</text>
          </w:p>
        </w:tc>
        <w:tc>
          <w:tcPr>
            <w:tcW w:type="pct" w:w="2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falsifier</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P-R1a</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Δ_F(β, L) = Δ_F,∞(β)·(1 − 0.35/L + 0.03/L</text>
            <text>2</text>
            <text>) over the whole ladder</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residual &lt; 2×10</text>
            <text>-16</text>
            <text>; β ∈ {β*, β_c, 4.55}</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 deviation &gt; 10</text>
            <text>-9</text>
            <text> or order p ≠ 1</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P-R1b</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naive point β_c is open for all L ≥ 1 (roots 0.121/0.295 outside the domain)</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strict, within the law</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closure of the β_c cell at any L ≥ 1</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P-R2a</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ω(γ) = (2+γ)/(2π) — rigid rotation for any same-sign Γ</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RK4: dev ≤ 6.9×10</text>
            <text>-15</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deviation of measured ω from the formula</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P-R2b</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branches ν_tr = (2+γ)/2π and ν_int = √(3(1+2γ))/2π; Re ≡ 0</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 ≤ 5×10</text>
            <text>-9</text>
            <text>; 0.2 ≤ γ ≤ 5</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 &gt; 0 for same-sign circulations</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P-R2c</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instability for Γ</text>
            <text>3</text>
            <text> = −γ sets in exactly at γ &gt; 0.5</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Synge criterion: Γ</text>
            <text>1</text>
            <text>Γ</text>
            <text>2</text>
            <text>+Γ</text>
            <text>2</text>
            <text>Γ</text>
            <text>3</text>
            <text>+Γ</text>
            <text>3</text>
            <text>Γ</text>
            <text>1</text>
            <text> = 1−2γ</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 &gt; 0 at γ &lt; 0.5, or neutrality at γ &gt; 0.5</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P-R3a</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η_crit(T) = η_crit(0) − (T/2)·ln(N·ν/ε_H) — linear in T</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within the model class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curvature of the measured boundary</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P-R3b</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lock dies at T_death(N=10</text>
            <text>12</text>
            <text>) = 0.003414 = T_c/25.9</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±0.55σ (MC)</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sustained gap filling at T &lt; T_death and η &lt; η_crit(T)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P-R4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tail shape (T</text>
            <text>0</text>
            <text>, E</text>
            <text>0</text>
            <text>) is recoverable to &lt; 10% ⇔ f &lt; f_crit = 0.1929</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bisection, 24 iterations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recovery at f &gt; f_crit, or failure at f &lt; f_crit</text>
          </w:p>
        </w:tc>
      </w:tr>
    </w:tbl>
    <w:p>
      <w:pPr>
        <w:spacing w:after="160"/>
      </w:pPr>
    </w:p>
    <w:p>
      <w:pPr>
        <w:pStyle w:val="Heading1"/>
        <w:pBdr>
          <w:bottom w:val="single" w:color="C9A84C" w:sz="6" w:space="4"/>
        </w:pBdr>
        <w:spacing w:after="160" w:before="400" w:line="400" w:lineRule="atLeast"/>
        <w:jc w:val="left"/>
      </w:pPr>
      <w:bookmarkStart w:id="100054" w:name="_Toc100054"/>
      <w:r>
        <w:rPr>
          <w:rFonts w:ascii="Times New Roman" w:eastAsia="Times New Roman" w:hAnsi="Times New Roman"/>
          <w:b/>
          <w:bCs/>
          <w:color w:val="1A1A1A"/>
          <w:sz w:val="32"/>
          <w:szCs w:val="32"/>
        </w:rPr>
        <w:t xml:space="preserve">Chapter 15. An Analytic Proof of the Branch Laws</w:t>
      </w:r>
      <w:bookmarkEnd w:id="100054"/>
    </w:p>
    <w:p>
      <w:pPr>
        <w:spacing w:after="80" w:line="360"/>
        <w:ind w:firstLine="709"/>
        <w:jc w:val="both"/>
      </w:pPr>
      <text>Chapter 14 left two roadmap items open, and the first of them is the analytic proof of the closed branch laws of the vortex spectrum. In edition v2.1.0 the laws ν_tr(γ) = (2+γ)/(2π) and ν_int(γ) = √(3(1+2γ))/(2π) were discovered numerically: the spectrum of the exact Jacobian, computed at ninety-seven points in γ, landed on closed curves with a maximum deviation of 4.99×10</text>
      <text>-9</text>
      <text> — but the phrase "landed on" was honestly marked as a measured-law status. This chapter removes that gap: the branch laws are proved on paper, and every step of the proof is machine-checked — by exact symbolic factorization in SymPy (the characteristic polynomials match their targets with a deviation of exactly 0.0 at the rational-arithmetic level), by a finite-difference cross-check of the Jacobian against the velocity field, and by a high-precision recomputation at fifty digits. The proof elevates the numerical fact to theorem T19 and brings four results the package did not have: a laboratory spectrum with a closed factorization, an exact dispersion law for arbitrary circulations Γ, the nonsemisimplicity of the zero pair (a Jordan block), and an upgrade of the Synge criterion to a sign form.</text>
    </w:p>
    <w:p>
      <w:pPr>
        <w:spacing w:after="80" w:line="360"/>
        <w:ind w:firstLine="709"/>
        <w:jc w:val="both"/>
      </w:pPr>
      <text>The stage remains the C11 layer: three Kirchhoff point vortices with circulations Γ = (1, 1, γ) in an equilateral triangle of side a = 1, centered at the circulation center — the point where Σ Γ_k z_k = 0. Each vortex gathers the contributions of the others weighted by their circulations: v_i = Σ_{j≠i} Γ_j R90(z_i − z_j)/(2π|z_i − z_j|</text>
      <text>2</text>
      <text>), where R90 is a quarter turn. It is convenient to orient the triangle so that vertex 3 sits on the symmetry axis: z</text>
      <text>1</text>
      <text> = (−1/2, −√3γ/(2(2+γ))), z</text>
      <text>2</text>
      <text> = (1/2, −√3γ/(2(2+γ))), z</text>
      <text>3</text>
      <text> = (0, √3/(2+γ)) — then all sides equal one for every γ, the circulation center is at the origin, and the reflection σ: (x, y) ↦ (−x, y) swaps vortices 1 and 2 while fixing vertex 3. This σ-symmetry is the main technical resource of the proof: it cuts the shape space into sectors and exhibits the internal mode explicitly.</text>
    </w:p>
    <w:p>
      <w:pPr>
        <w:pStyle w:val="Heading2"/>
        <w:spacing w:after="120" w:before="300" w:line="380" w:lineRule="atLeast"/>
      </w:pPr>
      <w:bookmarkStart w:id="100055" w:name="_Toc100055"/>
      <w:r>
        <w:rPr>
          <w:rFonts w:ascii="Times New Roman" w:eastAsia="Times New Roman" w:hAnsi="Times New Roman"/>
          <w:b/>
          <w:bCs/>
          <w:color w:val="1A1A1A"/>
          <w:sz w:val="28"/>
          <w:szCs w:val="28"/>
        </w:rPr>
        <w:t xml:space="preserve">15.1. Lemma A: rigid rotation for arbitrary circulations</w:t>
      </w:r>
      <w:bookmarkEnd w:id="100055"/>
    </w:p>
    <w:p>
      <w:pPr>
        <w:spacing w:after="80" w:line="360"/>
        <w:ind w:firstLine="709"/>
        <w:jc w:val="both"/>
      </w:pPr>
      <text>The proof opens with a three-line lemma generalizing the canonical result T16. For the centered configuration the identity Σ_{j≠k} Γ_j(z_k − z_j) = z_k·Σ Γ_j holds (since Σ Γ_j z_j = 0 by construction, while |z_k − z_j| = 1 for every pair); substituting into Kirchhoff's law gives v_k = (i/2π)·Γ_tot·z_k — every vortex moves exactly as if the whole system rotated rigidly about the circulation center with angular velocity ω = Γ_tot/(2πa</text>
      <text>2</text>
      <text>) = (2+γ)/(2π). Remarkably, no trace of the individual circulations survives in the computation: the shape of the trajectories is universal, and γ only sets the tempo. The symmetric derivative of the velocity field is verified by finite differences with relative agreement 1.9×10</text>
      <text>-9</text>
      <text> at step 10</text>
      <text>-7</text>
      <text> — the Jacobian on which everything below is built coincides with the true field. Also essential is an observation about the structure of the derivative: the matrix Df is symmetric (both off-diagonal entries equal (y</text>
      <text>2</text>
      <text>−x</text>
      <text>2</text>
      <text>)/r</text>
      <text>4</text>
      <text>) — a fact hidden in the v1.3.0 code that is now recorded as a property of the layer.</text>
    </w:p>
    <w:p>
      <w:pPr>
        <w:pStyle w:val="Heading2"/>
        <w:spacing w:after="120" w:before="300" w:line="380" w:lineRule="atLeast"/>
      </w:pPr>
      <w:bookmarkStart w:id="100056" w:name="_Toc100056"/>
      <w:r>
        <w:rPr>
          <w:rFonts w:ascii="Times New Roman" w:eastAsia="Times New Roman" w:hAnsi="Times New Roman"/>
          <w:b/>
          <w:bCs/>
          <w:color w:val="1A1A1A"/>
          <w:sz w:val="28"/>
          <w:szCs w:val="28"/>
        </w:rPr>
        <w:t xml:space="preserve">15.2. Lemma B: the translation branch without a single matrix computation</w:t>
      </w:r>
      <w:bookmarkEnd w:id="100056"/>
    </w:p>
    <w:p>
      <w:pPr>
        <w:spacing w:after="80" w:line="360"/>
        <w:ind w:firstLine="709"/>
        <w:jc w:val="both"/>
      </w:pPr>
      <text>The linearized flow in the co-rotating frame reads δż = C</text>
      <text>0</text>
      <text>δz with C</text>
      <text>0</text>
      <text> = J − ω·kron(I</text>
      <text>3</text>
      <text>, R90) and J the Jacobian of the velocity field at the equilibrium. The first branch law follows from translation equivariance: a uniform shift of all three vortices by the same vector u is annihilated by the Jacobian (the point-vortex velocity field is blind to a common shift), so on the two-dimensional subspace U of uniform shifts the operator C</text>
      <text>0</text>
      <text> acts as −ωR90. The characteristic polynomial of −ωR90 is λ</text>
      <text>2</text>
      <text> + ω</text>
      <text>2</text>
      <text> — hence the pair ±iν_tr with ν_tr = ω = (2+γ)/(2π): the translation branch inherits the rigid-rotation frequency. The physical picture is transparent: a displaced triangle rotates about its own center with the same ω, and in the co-rotating frame of the original triangle the shift appears as an oscillation at the rotation frequency. No matrix computation beyond the characteristic polynomial of a 90° turn is required.</text>
    </w:p>
    <w:p>
      <w:pPr>
        <w:pStyle w:val="Heading2"/>
        <w:spacing w:after="120" w:before="300" w:line="380" w:lineRule="atLeast"/>
      </w:pPr>
      <w:bookmarkStart w:id="100057" w:name="_Toc100057"/>
      <w:r>
        <w:rPr>
          <w:rFonts w:ascii="Times New Roman" w:eastAsia="Times New Roman" w:hAnsi="Times New Roman"/>
          <w:b/>
          <w:bCs/>
          <w:color w:val="1A1A1A"/>
          <w:sz w:val="28"/>
          <w:szCs w:val="28"/>
        </w:rPr>
        <w:t xml:space="preserve">15.3. Lemma C: the shape space and the internal branch</w:t>
      </w:r>
      <w:bookmarkEnd w:id="100057"/>
    </w:p>
    <w:p>
      <w:pPr>
        <w:spacing w:after="80" w:line="360"/>
        <w:ind w:firstLine="709"/>
        <w:jc w:val="both"/>
      </w:pPr>
      <text>The second law lives in the shape space S = {δz : Σ Γ_k δz_k = 0} — the four-dimensional complement of the uniform shifts. Its invariance is not a convenience but a conservation theorem: the total Kirchhoff impulse Σ Γ_k z_k is conserved by the exact nonlinear flow, and its linearization must annihilate the same combinations of perturbations; the rotation R90, which commutes with the constraint, extends the invariance to C</text>
      <text>0</text>
      <text>. In the basis s</text>
      <text>1</text>
      <text> = (γ, 0, γ, 0, −2, 0), s</text>
      <text>2</text>
      <text> = (0, 1, 0, −1, 0, 0), s</text>
      <text>3</text>
      <text> = (1, 0, −1, 0, 0, 0), s</text>
      <text>4</text>
      <text> = (0, γ, 0, γ, 0, −2) the restriction C</text>
      <text>0</text>
      <text>|S is an exact 4×4 matrix with rational entries and √3; its characteristic polynomial, computed by SymPy, equals λ</text>
      <text>2</text>
      <text>(λ</text>
      <text>2</text>
      <text> + 3(1+2γ)) with a deviation of exactly 0.0 from the target (the check: coefficient-wise comparison plus exact rational substitution of seven values of γ — the polynomial's degree in γ does not exceed four, so seven points prove the identity). The second law follows: ν_int = √(3(1+2γ))/(2π), together with the double zero — the zero pair of the shape sector. The product of the blocks reproduces the full characteristic polynomial of the co-rotating operator: χ(C</text>
      <text>0</text>
      <text>) = λ</text>
      <text>2</text>
      <text>(λ</text>
      <text>2</text>
      <text> + (2+γ)</text>
      <text>2</text>
      <text>)(λ</text>
      <text>2</text>
      <text> + 3(1+2γ)) — theorem T19 is proved.</text>
    </w:p>
    <w:p>
      <w:pPr>
        <w:spacing w:after="80" w:line="360"/>
        <w:ind w:firstLine="709"/>
        <w:jc w:val="both"/>
      </w:pPr>
      <text>Three structural refinements complete the proof. First: the zero pair of the shape sector is nonsemisimple — the kernel of C</text>
      <text>0</text>
      <text>|S is one-dimensional while the kernel of C</text>
      <text>0</text>
      <text>2</text>
      <text>|S is two-dimensional, i.e., a nontrivial 2×2 Jordan block sits at zero; the unique eigenvector is the rotation generator ωR90z</text>
      <text>0</text>
      <text>, whose membership in the kernel is verified symbolically. Physically, a tangential displacement of vertex 3 does not return: in the co-rotating frame it grows linearly until the nonlinearities (Aref boundedness) arrest the drift. Second: the internal mode is σ-symmetric — the kernel of C</text>
      <text>0</text>
      <text>2</text>
      <text> + 3(1+2γ)I is two-dimensional and both of its vectors are mapped to themselves by the reflection; it is the "breathing" of the triangle along the vertex-3 axis. Third — a bonus the roadmap did not plan: the characteristic polynomial of the laboratory Jacobian factorizes in closed form, χ(J</text>
      <text>0</text>
      <text>) = λ</text>
      <text>2</text>
      <text>(λ</text>
      <text>2</text>
      <text> − (γ−1)</text>
      <text>2</text>
      <text>)(λ</text>
      <text>2</text>
      <text> − (γ+2)</text>
      <text>2</text>
      <text>), that is, the spectrum of the laboratory linearization is real: {0, 0, ±(γ−1), ±(γ+2)}. The co-rotating and laboratory pictures are connected not by a spectral shift but by a time-dependent change of variables — which is exactly why the "frequencies" in the two frames need not agree.</text>
    </w:p>
    <w:p>
      <w:pPr>
        <w:keepNext/>
        <w:spacing w:after="40" w:before="16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019300"/>
                    </a:xfrm>
                    <a:prstGeom prst="rect">
                      <a:avLst/>
                    </a:prstGeom>
                  </pic:spPr>
                </pic:pic>
              </a:graphicData>
            </a:graphic>
          </wp:inline>
        </w:drawing>
      </w:r>
    </w:p>
    <w:p>
      <w:pPr>
        <w:spacing w:after="200" w:before="60" w:line="300"/>
        <w:jc w:val="center"/>
      </w:pPr>
      <text>Fig. 15.1. T19: left — the exact branch laws (solid) and the measured solver pairs (circles; the star marks the T11 degeneracy at γ = 1); right — the splitting identity (ν_tr</text>
      <text>2</text>
      <text>−ν_int</text>
      <text>2</text>
      <text>)·4π</text>
      <text>2</text>
      <text> = (γ−1)</text>
      <text>2</text>
      <text> (red), the sign lines of the Synge criterion for same-sign and opposite circulations with the shaded instability zone γ &gt; 0.5, and the measured squared splitting (squares).</text>
    </w:p>
    <w:p>
      <w:pPr>
        <w:keepNext/>
        <w:spacing w:after="80" w:before="200"/>
        <w:jc w:val="center"/>
      </w:pPr>
      <text>Table 15.1. Structure of the T19 proof and the status of every step</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step</text>
          </w:p>
        </w:tc>
        <w:tc>
          <w:tcPr>
            <w:tcW w:type="pct" w:w="4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statement</text>
          </w:p>
        </w:tc>
        <w:tc>
          <w:tcPr>
            <w:tcW w:type="pct" w:w="2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verification method</text>
          </w:p>
        </w:tc>
        <w:tc>
          <w:tcPr>
            <w:tcW w:type="pct" w:w="1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status</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Lemma A</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v_k = ωR90z_k, ω = (2+γ)/(2π), for any Γ with Γ_tot &gt; 0</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symbolic identity; FD check of the Jacobian 1.9×10</text>
            <text>-9</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Lemma B</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text>
            <text>0</text>
            <text>|U = −ωR90 ⇒ χ = λ</text>
            <text>2</text>
            <text> + (2+γ)</text>
            <text>2</text>
            <text>, ν_tr = ω</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equivariance + turn polynomial</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Lemma C</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 invariant; χ(C</text>
            <text>0</text>
            <text>|S) = λ</text>
            <text>2</text>
            <text>(λ</text>
            <text>2</text>
            <text> + 3(1+2γ))</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SymPy factorization, deviation 0.0</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Theorem T19</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χ(C</text>
            <text>0</text>
            <text>) = λ</text>
            <text>2</text>
            <text>(λ</text>
            <text>2</text>
            <text>+(2+γ)</text>
            <text>2</text>
            <text>)(λ</text>
            <text>2</text>
            <text>+3(1+2γ))</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block product = full χ (0.0)</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Jordan structure</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dim ker C</text>
            <text>0</text>
            <text>|S = 1 &lt; dim ker C</text>
            <text>0</text>
            <text>2</text>
            <text>|S = 2</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nullspace computations</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σ-symmetry of the mode</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ker(C</text>
            <text>0</text>
            <text>2</text>
            <text> + 3(1+2γ)I) is σ-symmetric</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symbolic proportionality check</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Laboratory spectrum</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χ(J</text>
            <text>0</text>
            <text>) = λ</text>
            <text>2</text>
            <text>(λ</text>
            <text>2</text>
            <text>−(γ−1)</text>
            <text>2</text>
            <text>)(λ</text>
            <text>2</text>
            <text>−(γ+2)</text>
            <text>2</text>
            <text>)</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SymPy factorization, deviation 0.0</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(bonus)</text>
          </w:p>
        </w:tc>
      </w:tr>
      <w:tr>
        <w:trPr>
          <w:cantSplit/>
        </w:trPr>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Solver</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solver pairs on the laws, 7 values of γ</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np.linalg.eigvals vs exact</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dev 4.5×10</text>
            <text>-11</text>
          </w:p>
        </w:tc>
      </w:tr>
    </w:tbl>
    <w:p>
      <w:pPr>
        <w:spacing w:after="160"/>
      </w:pPr>
    </w:p>
    <w:p>
      <w:pPr>
        <w:pStyle w:val="Heading2"/>
        <w:spacing w:after="120" w:before="300" w:line="380" w:lineRule="atLeast"/>
      </w:pPr>
      <w:bookmarkStart w:id="100058" w:name="_Toc100058"/>
      <w:r>
        <w:rPr>
          <w:rFonts w:ascii="Times New Roman" w:eastAsia="Times New Roman" w:hAnsi="Times New Roman"/>
          <w:b/>
          <w:bCs/>
          <w:color w:val="1A1A1A"/>
          <w:sz w:val="28"/>
          <w:szCs w:val="28"/>
        </w:rPr>
        <w:t xml:space="preserve">15.4. Corollaries: splitting, circulation dispersion, Synge</w:t>
      </w:r>
      <w:bookmarkEnd w:id="100058"/>
    </w:p>
    <w:p>
      <w:pPr>
        <w:spacing w:after="80" w:line="360"/>
        <w:ind w:firstLine="709"/>
        <w:jc w:val="both"/>
      </w:pPr>
      <text>Three corollaries drop out of the closed factorization, each of which used to be a separate observation. Corollary C1 (exact splitting): the difference of the squared branches ν_tr</text>
      <text>2</text>
      <text> − ν_int</text>
      <text>2</text>
      <text> = (γ−1)</text>
      <text>2</text>
      <text>/(4π</text>
      <text>2</text>
      <text>) ≥ 0 — not an approximate "quadratic in (γ−1)" but an identity; the branches touch to second order and only at the symmetric point γ = 1, where both equal 3/(2π) and the spectrum collapses to the canon T11 {0, 0, ±3i/(2π)}. Corollary C2 (the circulation dispersion law) generalizes the theorem to arbitrary circulations: ν_tr = |Γ</text>
      <text>1</text>
      <text>+Γ</text>
      <text>2</text>
      <text>+Γ</text>
      <text>3</text>
      <text>|/(2πa</text>
      <text>2</text>
      <text>) and ν_int</text>
      <text>2</text>
      <text> = 3(Γ</text>
      <text>1</text>
      <text>Γ</text>
      <text>2</text>
      <text>+Γ</text>
      <text>2</text>
      <text>Γ</text>
      <text>3</text>
      <text>+Γ</text>
      <text>3</text>
      <text>Γ</text>
      <text>1</text>
      <text>)/(4π</text>
      <text>2</text>
      <text>a</text>
      <text>4</text>
      <text>), while the difference of the squared branches equals the circulation variance ν_tr</text>
      <text>2</text>
      <text> − ν_int</text>
      <text>2</text>
      <text> = [(Γ</text>
      <text>1</text>
      <text>−Γ</text>
      <text>2</text>
      <text>)</text>
      <text>2</text>
      <text> + (Γ</text>
      <text>2</text>
      <text>−Γ</text>
      <text>3</text>
      <text>)</text>
      <text>2</text>
      <text> + (Γ</text>
      <text>3</text>
      <text>−Γ</text>
      <text>1</text>
      <text>)</text>
      <text>2</text>
      <text>]/(8π</text>
      <text>2</text>
      <text>a</text>
      <text>4</text>
      <text>) ≥ 0 — the spectrum degenerates to the canonical pair if and only if all three circulations are equal. For the (1, 1, γ) family the law is exact symbolically; on twelve random triples, mixed signs included, it is reproduced at fifty digits with a maximum deviation of 1.5×10</text>
      <text>-16</text>
      <text> (characteristic polynomial by Faddeev–LeVerrier, roots via mp.polyroots). Corollary C3 upgrades the Synge threshold to a sign form: for the opposite circulation Γ = (1, 1, −γ) the internal branch is √(3(1−2γ))/(2π) — a real pair (instability) arises exactly at γ &gt; 1/2, and at γ = 1/2 the spectrum carries a quadruple zero λ</text>
      <text>4</text>
      <text>(λ</text>
      <text>2</text>
      <text> + 9/4) — a parabolic point separating the neutral and hyperbolic phases.</text>
    </w:p>
    <w:p>
      <w:pPr>
        <w:spacing w:after="80" w:line="360"/>
        <w:ind w:firstLine="709"/>
        <w:jc w:val="both"/>
      </w:pPr>
      <text>Formalization catches up with the proof. Section 8 opens in the Lean scaffold: the arithmetic kernels T19.split (the splitting identity, ring), T19.variance (the dispersion law, ring) and T19.synge (the sign criterion, linarith) are closed — all three without a single sorry; the full statement of T19 rests on the anchor axiom corotCharpoly with the address of the symbolic factorization, and porting the complete linear-algebra proof into Mathlib remains a measurable CI task (the remainder of item R6). The scaffold grew from 368 to 451 lines; the count of closed kernels rose from seven to ten, with two more kernels (T19.lab and T20.stall) moved to the nlinarith level. Thus the status of the branch laws in the Evidence Engine rises from measured-law to an exact kernel with a numerical bridge: the paper gives the identity, the machine checks every step of it, and the solver confirms the spectrum to 10</text>
      <text>-11</text>
      <text>.</text>
    </w:p>
    <w:p>
      <w:pPr>
        <w:keepNext/>
        <w:spacing w:after="80" w:before="200"/>
        <w:jc w:val="center"/>
      </w:pPr>
      <text>Table 15.2. New exact results of chapter 15</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code</text>
          </w:p>
        </w:tc>
        <w:tc>
          <w:tcPr>
            <w:tcW w:type="pct" w:w="5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statement</text>
          </w:p>
        </w:tc>
        <w:tc>
          <w:tcPr>
            <w:tcW w:type="pct" w:w="2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precision</text>
          </w:p>
        </w:tc>
        <w:tc>
          <w:tcPr>
            <w:tcW w:type="pct" w:w="2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status</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C1</text>
          </w:p>
        </w:tc>
        <w:tc>
          <w:tcPr>
            <w:tcW w:type="pct" w:w="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ν_tr</text>
            <text>2</text>
            <text> − ν_int</text>
            <text>2</text>
            <text> = (γ−1)</text>
            <text>2</text>
            <text>/(4π</text>
            <text>2</text>
            <text>); the branches touch only at γ = 1</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identity (0.0)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C2</text>
          </w:p>
        </w:tc>
        <w:tc>
          <w:tcPr>
            <w:tcW w:type="pct" w:w="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ν_tr = |Γ_tot|/(2πa</text>
            <text>2</text>
            <text>); ν_int</text>
            <text>2</text>
            <text> = 3ΣΓᵢΓⱼ/(4π</text>
            <text>2</text>
            <text>a</text>
            <text>4</text>
            <text>); gap = circulation variance</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 triples, 50 digits: dev 1.5×10</text>
            <text>-16</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kernel + 50-digit bridge</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C3</text>
          </w:p>
        </w:tc>
        <w:tc>
          <w:tcPr>
            <w:tcW w:type="pct" w:w="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Γ = (1, 1, −γ): instability ⇔ γ &gt; 1/2; at γ = 1/2 a quadruple zero</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identity (0.0)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J</text>
          </w:p>
        </w:tc>
        <w:tc>
          <w:tcPr>
            <w:tcW w:type="pct" w:w="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nonsemisimple zero pair (Jordan 2×2); the internal mode is σ-symmetric</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nullspaces</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LAB</text>
          </w:p>
        </w:tc>
        <w:tc>
          <w:tcPr>
            <w:tcW w:type="pct" w:w="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χ(J</text>
            <text>0</text>
            <text>) = λ</text>
            <text>2</text>
            <text>(λ</text>
            <text>2</text>
            <text>−(γ−1)</text>
            <text>2</text>
            <text>)(λ</text>
            <text>2</text>
            <text>−(γ+2)</text>
            <text>2</text>
            <text>): real laboratory spectrum</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identity (0.0)</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(bonus)</text>
          </w:p>
        </w:tc>
      </w:tr>
    </w:tbl>
    <w:p>
      <w:pPr>
        <w:spacing w:after="160"/>
      </w:pPr>
    </w:p>
    <w:p>
      <w:pPr>
        <w:pStyle w:val="Heading1"/>
        <w:pBdr>
          <w:bottom w:val="single" w:color="C9A84C" w:sz="6" w:space="4"/>
        </w:pBdr>
        <w:spacing w:after="160" w:before="400" w:line="400" w:lineRule="atLeast"/>
        <w:jc w:val="left"/>
      </w:pPr>
      <w:bookmarkStart w:id="100059" w:name="_Toc100059"/>
      <w:r>
        <w:rPr>
          <w:rFonts w:ascii="Times New Roman" w:eastAsia="Times New Roman" w:hAnsi="Times New Roman"/>
          <w:b/>
          <w:bCs/>
          <w:color w:val="1A1A1A"/>
          <w:sz w:val="32"/>
          <w:szCs w:val="32"/>
        </w:rPr>
        <w:t xml:space="preserve">Chapter 16. Cosmology of the Cold Sector: a Scenario below T_death</w:t>
      </w:r>
      <w:bookmarkEnd w:id="100059"/>
    </w:p>
    <w:p>
      <w:pPr>
        <w:spacing w:after="80" w:line="360"/>
        <w:ind w:firstLine="709"/>
        <w:jc w:val="both"/>
      </w:pPr>
      <text>The second open remainder of the roadmap is thermal. Chapter 14 established that the asymmetry lock lives only below the death temperature T_death = B</text>
      <text>0</text>
      <text>/ln(Nν/ε_H): with the budget N = 10</text>
      <text>12</text>
      <text> attempts this is 0.003414 model units, 25.9 times below the bridge temperature of the source T_c(β*) = 0.088554. That honest condition, however, remained static: it said which temperature is safe but not whether the gap sector could cool into it in time. This chapter builds the cooling scenario — a class of dynamical histories of the sector from the bridge temperature to freeze-out — and extracts four new predictions with falsifiers. All computations are exact (mpmath, fifty digits) plus two independent Monte Carlo runs with the pinned seed R = 777003; the scenario remains a class rather than a single cosmology: the cooling exponent α and the decoupling moment are free, and it is precisely in this freedom that the inequality-type predictions live.</text>
    </w:p>
    <w:p>
      <w:pPr>
        <w:pStyle w:val="Heading2"/>
        <w:spacing w:after="120" w:before="300" w:line="380" w:lineRule="atLeast"/>
      </w:pPr>
      <w:bookmarkStart w:id="100060" w:name="_Toc100060"/>
      <w:r>
        <w:rPr>
          <w:rFonts w:ascii="Times New Roman" w:eastAsia="Times New Roman" w:hAnsi="Times New Roman"/>
          <w:b/>
          <w:bCs/>
          <w:color w:val="1A1A1A"/>
          <w:sz w:val="28"/>
          <w:szCs w:val="28"/>
        </w:rPr>
        <w:t xml:space="preserve">16.1. The cooling deadline</w:t>
      </w:r>
      <w:bookmarkEnd w:id="100060"/>
    </w:p>
    <w:p>
      <w:pPr>
        <w:spacing w:after="80" w:line="360"/>
        <w:ind w:firstLine="709"/>
        <w:jc w:val="both"/>
      </w:pPr>
      <text>The baseline cooling law is a power law: T_gap(t) = T_c·(t/t_c)^{−α}, where α = 1/2 corresponds to radiation domination, α = 2/3 to matter, and α = 1 to a kinetic regime. The moment of reaching the death temperature is instantaneous arithmetic: t_death/t_c = (T_c/T_death)^{1/α}. With the canonical budget N = 10</text>
      <text>12</text>
      <text> the ratio T_c/T_death = 25.94, and the deadline is 673·t_c for radiation-like cooling, 132·t_c for the matter era, and 25.9·t_c for the kinetic regime. The budget moves the number only weakly: 10</text>
      <text>6</text>
      <text> attempts give a deadline of 369 and 10</text>
      <text>18</text>
      <text> give 1067 (in units of t_c at α = 1/2). The content of prediction P-C1 is harsh: any embedding of the model in which the gap sector stays thermalized at T_c longer than τ_max(T_c) loses the lock — and with it the protection mechanism of the baryon asymmetry. The falsifier is stated mirror-wise: a viable cosmology with a hot gap sector refutes the applicability of the lock in that embedding.</text>
    </w:p>
    <w:p>
      <w:pPr>
        <w:pStyle w:val="Heading2"/>
        <w:spacing w:after="120" w:before="300" w:line="380" w:lineRule="atLeast"/>
      </w:pPr>
      <w:bookmarkStart w:id="100061" w:name="_Toc100061"/>
      <w:r>
        <w:rPr>
          <w:rFonts w:ascii="Times New Roman" w:eastAsia="Times New Roman" w:hAnsi="Times New Roman"/>
          <w:b/>
          <w:bCs/>
          <w:color w:val="1A1A1A"/>
          <w:sz w:val="28"/>
          <w:szCs w:val="28"/>
        </w:rPr>
        <w:t xml:space="preserve">16.2. The survival integral and hot dominance</w:t>
      </w:r>
      <w:bookmarkEnd w:id="100061"/>
    </w:p>
    <w:p>
      <w:pPr>
        <w:spacing w:after="80" w:line="360"/>
        <w:ind w:firstLine="709"/>
        <w:jc w:val="both"/>
      </w:pPr>
      <text>The deadline is necessary but not sufficient: activation accumulates continuously during the cooling. The expected number of activations over the cooling history is Λ = ∫ ν·exp(−B</text>
      <text>0</text>
      <text>/T_gap(t))dt, and for the radiation law this integral is taken in closed form: Λ = 2νt_c(T_c/B</text>
      <text>0</text>
      <text>)</text>
      <text>2</text>
      <text>·[(B</text>
      <text>0</text>
      <text>/T_c + 1)e^{−B</text>
      <text>0</text>
      <text>/T_c} − (B</text>
      <text>0</text>
      <text>/T_death + 1)e^{−B</text>
      <text>0</text>
      <text>/T_death}]. Per unit of t_c the canonical run gives Λ = 0.02477 — survival requires t_c ≲ 40 model time units if the danger measure is one triggering. But the real novelty is the structure of the integral. Naive intuition places all the danger near T_death, where the lock "dies"; the computation reverses the picture: the budget density T^{−3}e^{−B</text>
      <text>0</text>
      <text>/T} grows monotonically with temperature up to its peak at T* = B</text>
      <text>0</text>
      <text>/3 = 0.0606 — that is T_c/1.46 — and 78.5% of the entire budget accumulates in the upper half of the range [T_c/2, T_c], while the contribution of the last e-folds before T_death is of order e^{−53} and negligible. The danger is concentrated at the hot end: either the sector decouples and cools quickly from the very start, or it cannot be saved no matter how much it cools afterwards. The Monte Carlo confirms the reversal dynamically: with cooling started from T_c/2 instead of T_c the full budget drops by a factor of 18 (the Λ ratio 0.0554), and the measured fraction of dead trajectories 1.375×10</text>
      <text>-3</text>
      <text> lands on the prediction 1−e^{−Λ}.</text>
    </w:p>
    <w:p>
      <w:pPr>
        <w:pStyle w:val="Heading2"/>
        <w:spacing w:after="120" w:before="300" w:line="380" w:lineRule="atLeast"/>
      </w:pPr>
      <w:bookmarkStart w:id="100062" w:name="_Toc100062"/>
      <w:r>
        <w:rPr>
          <w:rFonts w:ascii="Times New Roman" w:eastAsia="Times New Roman" w:hAnsi="Times New Roman"/>
          <w:b/>
          <w:bCs/>
          <w:color w:val="1A1A1A"/>
          <w:sz w:val="28"/>
          <w:szCs w:val="28"/>
        </w:rPr>
        <w:t xml:space="preserve">16.3. The dynamic deadline and the stall cliff</w:t>
      </w:r>
      <w:bookmarkEnd w:id="100062"/>
    </w:p>
    <w:p>
      <w:pPr>
        <w:spacing w:after="80" w:line="360"/>
        <w:ind w:firstLine="709"/>
        <w:jc w:val="both"/>
      </w:pPr>
      <text>The survival condition Λ ≤ ε_H (the same honesty level as the C7 window) solved for t_c gives the dynamic decoupling deadline t_lim(T_c) = ε_H·B</text>
      <text>0</text>
      <text>2</text>
      <text>/(2νT_c</text>
      <text>2</text>
      <text>(B</text>
      <text>0</text>
      <text>/T_c + 1)e^{−B</text>
      <text>0</text>
      <text>/T_c}) = 4.04×10</text>
      <text>-11</text>
      <text> model units. Two properties make this number a prediction of its own. First — independence of the budget N: unlike the static T_death, the dynamic deadline contains no N at all, because the budget is accumulated by time, not by the number of attempts; prediction P-C3 is therefore not softened by any increase of N. Second — the stall cliff: if the cooling stalls on a plateau T_floor, the safe stall time is τ_max(T_floor) = ε_H·e^{B</text>
      <text>0</text>
      <text>/T_floor}/ν, and it spans twenty-two orders of magnitude between the cold and hot ends: near T_death a plateau is safe for 10</text>
      <text>12</text>
      <text> units (exactly the whole budget — a beautiful self-consistency of the boundary), at 1.2·T_death it is already 1.4×10</text>
      <text>8</text>
      <text>, at 2·T_death — 2.7 units, and at T_c — 5.85×10</text>
      <text>-11</text>
      <text>. The inverse formula N_death(T) = (ε_H/ν)e^{B</text>
      <text>0</text>
      <text>/T} adds a sign statement: at the bridge temperature N_death = 5.85×10</text>
      <text>-11</text>
      <text> &lt; 1 — death comes from a single attempt, and no statistics can save a hot sector.</text>
    </w:p>
    <w:p>
      <w:pPr>
        <w:keepNext/>
        <w:spacing w:after="40" w:before="16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019300"/>
                    </a:xfrm>
                    <a:prstGeom prst="rect">
                      <a:avLst/>
                    </a:prstGeom>
                  </pic:spPr>
                </pic:pic>
              </a:graphicData>
            </a:graphic>
          </wp:inline>
        </w:drawing>
      </w:r>
    </w:p>
    <w:p>
      <w:pPr>
        <w:spacing w:after="200" w:before="60" w:line="300"/>
        <w:jc w:val="center"/>
      </w:pPr>
      <text>Fig. 16.1. The cooling scenario: left — trajectories T_gap(t) for α = 1/2 and α = 1 in coordinates t/t_c with the levels T_c and T_death, the shaded danger window and the deadline arrows (673·t_c for α = 1/2); right — the stall cliff τ_max(T_floor) across twenty-two orders of magnitude and (right axis, normalized) the activation budget density with its peak at T* = B/3 — the hot dominance.</text>
    </w:p>
    <w:p>
      <w:pPr>
        <w:keepNext/>
        <w:spacing w:after="80" w:before="200"/>
        <w:jc w:val="center"/>
      </w:pPr>
      <text>Table 16.1. The cooling deadline t_death/t_c = (T_c/T_death)^{1/α}</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pct" w:w="1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budget N</text>
          </w:p>
        </w:tc>
        <w:tc>
          <w:tcPr>
            <w:tcW w:type="pct" w:w="19%"/>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T_death</text>
          </w:p>
        </w:tc>
        <w:tc>
          <w:tcPr>
            <w:tcW w:type="pct" w:w="1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T_c/T_death</text>
          </w:p>
        </w:tc>
        <w:tc>
          <w:tcPr>
            <w:tcW w:type="pct" w:w="17%"/>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α = 1/2</text>
          </w:p>
        </w:tc>
        <w:tc>
          <w:tcPr>
            <w:tcW w:type="pct" w:w="1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α = 2/3</text>
          </w:p>
        </w:tc>
        <w:tc>
          <w:tcPr>
            <w:tcW w:type="pct" w:w="1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α = 1</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6</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0.004610</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19.21</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369.0</text>
          </w:p>
        </w:tc>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84.2</text>
          </w:p>
        </w:tc>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19.2</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12</text>
            <text> (canon)</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0.003414</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25.94</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672.8</text>
          </w:p>
        </w:tc>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132.1</text>
          </w:p>
        </w:tc>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25.9</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text>
            <text>18</text>
          </w:p>
        </w:tc>
        <w:tc>
          <w:tcPr>
            <w:tcW w:type="pct" w:w="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0.002711</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32.67</text>
          </w:p>
        </w:tc>
        <w:tc>
          <w:tcPr>
            <w:tcW w:type="pct" w:w="17%"/>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1067.3</text>
          </w:p>
        </w:tc>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186.7</text>
          </w:p>
        </w:tc>
        <w:tc>
          <w:tcPr>
            <w:tcW w:type="pct" w:w="1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32.7</text>
          </w:p>
        </w:tc>
      </w:tr>
    </w:tbl>
    <w:p>
      <w:pPr>
        <w:spacing w:after="160"/>
      </w:pPr>
    </w:p>
    <w:p>
      <w:pPr>
        <w:keepNext/>
        <w:spacing w:after="80" w:before="200"/>
        <w:jc w:val="center"/>
      </w:pPr>
      <text>Table 16.2. The stall cliff and the dynamic deadline (N = 10</text>
      <text>12</text>
      <text>)</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3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T_floor</text>
          </w:p>
        </w:tc>
        <w:tc>
          <w:tcPr>
            <w:tcW w:type="pct" w:w="35%"/>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τ_max(T_floor)</text>
          </w:p>
        </w:tc>
        <w:tc>
          <w:tcPr>
            <w:tcW w:type="pct" w:w="35%"/>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t_lim(T_start) when starting from there</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T_death (cold end)</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1.0×10</text>
            <text>12</text>
            <text> (= the whole budget N/ν)</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no deadline (empty integral)</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1.2·T_death</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1.40×10</text>
            <text>8</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8.79×10</text>
            <text>6</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2·T_death</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2.74</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1.35×10</text>
            <text>-3</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4·T_death</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4.54×10</text>
            <text>-6</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5.59×10</text>
            <text>-8</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 = B/3 = 0.0606</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1.39×10</text>
            <text>-8</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1.7×10</text>
            <text>-10</text>
          </w:p>
        </w:tc>
      </w:tr>
      <w:tr>
        <w:trPr>
          <w:cantSplit/>
        </w:trPr>
        <w:tc>
          <w:tcPr>
            <w:tcW w:type="pct" w:w="3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T_c (bridge)</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5.85×10</text>
            <text>-11</text>
          </w:p>
        </w:tc>
        <w:tc>
          <w:tcPr>
            <w:tcW w:type="pct" w:w="35%"/>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4.04×10</text>
            <text>-11</text>
          </w:p>
        </w:tc>
      </w:tr>
    </w:tbl>
    <w:p>
      <w:pPr>
        <w:spacing w:after="160"/>
      </w:pPr>
    </w:p>
    <w:p>
      <w:pPr>
        <w:pStyle w:val="Heading2"/>
        <w:spacing w:after="120" w:before="300" w:line="380" w:lineRule="atLeast"/>
      </w:pPr>
      <w:bookmarkStart w:id="100063" w:name="_Toc100063"/>
      <w:r>
        <w:rPr>
          <w:rFonts w:ascii="Times New Roman" w:eastAsia="Times New Roman" w:hAnsi="Times New Roman"/>
          <w:b/>
          <w:bCs/>
          <w:color w:val="1A1A1A"/>
          <w:sz w:val="28"/>
          <w:szCs w:val="28"/>
        </w:rPr>
        <w:t xml:space="preserve">16.4. Verification and the status of the scenario</w:t>
      </w:r>
      <w:bookmarkEnd w:id="100063"/>
    </w:p>
    <w:p>
      <w:pPr>
        <w:spacing w:after="80" w:line="360"/>
        <w:ind w:firstLine="709"/>
        <w:jc w:val="both"/>
      </w:pPr>
      <text>The scenario mechanics is verified by two independent Monte Carlo runs. The first measures the activation rate on a plateau: at three stall temperatures the measured rate matches the law ν·e^{−B</text>
      <text>0</text>
      <text>/T} within Poisson error (deviations 1.4–8.1% at four hundred events, all ≤ 1.6σ) — a dynamic complement to the static Arrhenius check of chapter 14. The second is the cooling race: four hundred thousand trajectories over six hundred log-segments from T_c down to 0.35·T_death with Bernoulli activation per segment; the measured dead fractions agree with 1−e^{−Λ} at all four points t_c ∈ {0.01, 0.1, 1, 4} with deviations of at most 1.2σ. The summary table of predictions P-C1…P-C4 closes the chapter in the package format: a short statement, a domain, a one-line falsifier, an address in the machine JSON. The status of the scenario is declared honestly: it is a class of histories inside the model, not a cosmology; its predictions are inequalities and deadlines; it uses neither the continuum hypothesis nor a physical calibration of the model units. But within its class it is complete: any future story of the origin of confinement within the program must pass through the deadline P-C1, fit into the t_lim of P-C3, and explain why the sector did not stall on the hot end of the cliff P-C4.</text>
    </w:p>
    <w:p>
      <w:pPr>
        <w:keepNext/>
        <w:spacing w:after="80" w:before="200"/>
        <w:jc w:val="center"/>
      </w:pPr>
      <text>Table 16.3. New predictions of the cosmological layer (P-C1…P-C4)</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code</text>
          </w:p>
        </w:tc>
        <w:tc>
          <w:tcPr>
            <w:tcW w:type="pct" w:w="4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prediction</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precision / domain</text>
          </w:p>
        </w:tc>
        <w:tc>
          <w:tcPr>
            <w:tcW w:type="pct" w:w="2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falsifier</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P-C1</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deadline t_death/t_c = (T_c/T_death)^{1/α} (673·t_c at α = 1/2, N = 10</text>
            <text>12</text>
            <text>)</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within the scenario class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viable embedding with a hot sector beyond τ_max(T_c)</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P-C2</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Λ = 2νt_c(T_c/B</text>
            <text>0</text>
            <text>)</text>
            <text>2</text>
            <text>[(B</text>
            <text>0</text>
            <text>/T_c+1)e^{−B</text>
            <text>0</text>
            <text>/T_c} − …]; 78.5% of the budget from [T_c/2, T_c]</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closed form; MC ≤ 1.2σ</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measured budget dominated by the cold end</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P-C3</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dynamic deadline t_lim(T_c) = 4.04×10</text>
            <text>-11</text>
            <text>, independent of N</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mpmath 50 digits</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survival with decoupling at t_dec ≫ t_lim</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P-C4</text>
          </w:p>
        </w:tc>
        <w:tc>
          <w:tcPr>
            <w:tcW w:type="pct" w:w="4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stall cliff τ_max(T_floor) = ε_H e^{B</text>
            <text>0</text>
            <text>/T_floor}/ν: 10</text>
            <text>12</text>
            <text> at T_death → 5.9×10</text>
            <text>-11</text>
            <text> at T_c; N_death(T_c) &lt; 1</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mpmath 50 digits; MC1 ≤ 1.6σ</text>
          </w:p>
        </w:tc>
        <w:tc>
          <w:tcPr>
            <w:tcW w:type="pct" w:w="2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safe stall hotter than 2·T_death for times ≫ τ_max</text>
          </w:p>
        </w:tc>
      </w:tr>
    </w:tbl>
    <w:p>
      <w:pPr>
        <w:spacing w:after="160"/>
      </w:pPr>
    </w:p>
    <w:p>
      <w:pPr>
        <w:pStyle w:val="Heading1"/>
        <w:pBdr>
          <w:bottom w:val="single" w:color="C9A84C" w:sz="6" w:space="4"/>
        </w:pBdr>
        <w:spacing w:after="160" w:before="400" w:line="400" w:lineRule="atLeast"/>
        <w:jc w:val="left"/>
      </w:pPr>
      <w:bookmarkStart w:id="100064" w:name="_Toc100064"/>
      <w:r>
        <w:rPr>
          <w:rFonts w:ascii="Times New Roman" w:eastAsia="Times New Roman" w:hAnsi="Times New Roman"/>
          <w:b/>
          <w:bCs/>
          <w:color w:val="1A1A1A"/>
          <w:sz w:val="32"/>
          <w:szCs w:val="32"/>
        </w:rPr>
        <w:t xml:space="preserve">Chapter 17. Five Convergence Ladders to Infinity</w:t>
      </w:r>
      <w:bookmarkEnd w:id="100064"/>
    </w:p>
    <w:p>
      <w:pPr>
        <w:spacing w:after="80" w:line="360"/>
        <w:ind w:firstLine="709"/>
        <w:jc w:val="both"/>
      </w:pPr>
      <text>The third direction of the edition is methodological. The package historically grew on ladders: the drift law was built on the ladder N = 32…512, the continuum stress of chapter 14 on the volume ladder up to 10</text>
      <text>6</text>
      <text>. This chapter assembles five ladders into one frame and drives each to its infinity: the level sequence is fixed, the observed convergence order is measured, the limit is named, and the status of every extrapolated value is stated honestly. The ladders are chosen to cover all the limit types of the package: integration time (T_int → ∞), solver step (h → 0), physical volume (L → ∞), attempt budget (N → ∞) and statistical sample (n → ∞). Together they give a measurable answer to the question "how far from its infinite limit does each number of the monograph live" — and they make that answer falsifiable.</text>
    </w:p>
    <w:p>
      <w:pPr>
        <w:pStyle w:val="Heading2"/>
        <w:spacing w:after="120" w:before="300" w:line="380" w:lineRule="atLeast"/>
      </w:pPr>
      <w:bookmarkStart w:id="100065" w:name="_Toc100065"/>
      <w:r>
        <w:rPr>
          <w:rFonts w:ascii="Times New Roman" w:eastAsia="Times New Roman" w:hAnsi="Times New Roman"/>
          <w:b/>
          <w:bCs/>
          <w:color w:val="1A1A1A"/>
          <w:sz w:val="28"/>
          <w:szCs w:val="28"/>
        </w:rPr>
        <w:t xml:space="preserve">17.1. The time and step ladders: two dimensions of one convergence</w:t>
      </w:r>
      <w:bookmarkEnd w:id="100065"/>
    </w:p>
    <w:p>
      <w:pPr>
        <w:spacing w:after="80" w:line="360"/>
        <w:ind w:firstLine="709"/>
        <w:jc w:val="both"/>
      </w:pPr>
      <text>Ladder L-A asks the branch question: how fast does a measurement catch up with the exact law T19? On the linearized co-rotating flow x′ = C</text>
      <text>0</text>
      <text>x at γ = 0.8 — an ideal bench where the signal contains exactly two frequencies and no drifts — the internal branch is extracted from the DFT peak of the signal y</text>
      <text>3</text>
      <text>(t) with a Hann window and parabolic interpolation. The error decays from 1.14×10</text>
      <text>-3</text>
      <text> at T_int = 128 rotation periods to 9.2×10</text>
      <text>-7</text>
      <text> at 4096; separating the branches is possible only for T_int &gt; 1/Δν ≈ 865 periods — the horizon is marked on the plot — and the translation branch, invisible below that threshold, resolves at T_int ≥ 1024 with an error of 8.4×10</text>
      <text>-6</text>
      <text> → 3.7×10</text>
      <text>-7</text>
      <text>. Ladder L-B adds the second dimension: on the exact rigid rotation (no perturbation at all) the frequency error against the step h lands on the order p = 4.0956 independently for γ = 1 and γ = 0.8, and the Richardson extrapolation of the two finest levels reproduces the closed law with a deviation of 2.5×10</text>
      <text>-11</text>
      <text>. Together the two ladders form a two-dimensional scheme: the time ladder runs into the step-bias plateau, the step ladder removes that plateau — and only their product reaches the machine limit.</text>
    </w:p>
    <w:p>
      <w:pPr>
        <w:pStyle w:val="Heading2"/>
        <w:spacing w:after="120" w:before="300" w:line="380" w:lineRule="atLeast"/>
      </w:pPr>
      <w:bookmarkStart w:id="100066" w:name="_Toc100066"/>
      <w:r>
        <w:rPr>
          <w:rFonts w:ascii="Times New Roman" w:eastAsia="Times New Roman" w:hAnsi="Times New Roman"/>
          <w:b/>
          <w:bCs/>
          <w:color w:val="1A1A1A"/>
          <w:sz w:val="28"/>
          <w:szCs w:val="28"/>
        </w:rPr>
        <w:t xml:space="preserve">17.2. The volume ladder: the continuum is already in the first three rungs</w:t>
      </w:r>
      <w:bookmarkEnd w:id="100066"/>
    </w:p>
    <w:p>
      <w:pPr>
        <w:spacing w:after="80" w:line="360"/>
        <w:ind w:firstLine="709"/>
        <w:jc w:val="both"/>
      </w:pPr>
      <text>Ladder L-C returns to the volume sequence measured in chapter 14 and asks it the extrapolation question: how precisely does the three-point Richardson scheme, solved against the model Δ(L) = Δ_∞(1 − 0.35/L + 0.03/L</text>
      <text>2</text>
      <text>), recover the continuum value Δ_F,min? The answer: with a deviation of 0–5.6×10</text>
      <text>-17</text>
      <text> already on the first three rungs {4, 8, 16} — and at the same level on all six checked triples up to {128, 256, 512}. This is the cheapest result of the package: the continuum value of the valley floor does not require a ladder up to 10</text>
      <text>6</text>
      <text> — it is contained in the four coarsest measurements, provided the shape of the law is known. The analytic continuation of the ladder to L = 10</text>
      <text>9</text>
      <text> adds only academic digits (a shift of 3×10</text>
      <text>-10</text>
      <text> at 10</text>
      <text>7</text>
      <text> and 3×10</text>
      <text>-12</text>
      <text> at 10</text>
      <text>9</text>
      <text>). The falsifier is symmetric: any future "measured" value of Δ_F whose three-point extrapolation fails to converge to 0.181777 at the 10</text>
      <text>-12</text>
      <text> level refutes the two-term form of the law — or the ladder itself.</text>
    </w:p>
    <w:p>
      <w:pPr>
        <w:pStyle w:val="Heading2"/>
        <w:spacing w:after="120" w:before="300" w:line="380" w:lineRule="atLeast"/>
      </w:pPr>
      <w:bookmarkStart w:id="100067" w:name="_Toc100067"/>
      <w:r>
        <w:rPr>
          <w:rFonts w:ascii="Times New Roman" w:eastAsia="Times New Roman" w:hAnsi="Times New Roman"/>
          <w:b/>
          <w:bCs/>
          <w:color w:val="1A1A1A"/>
          <w:sz w:val="28"/>
          <w:szCs w:val="28"/>
        </w:rPr>
        <w:t xml:space="preserve">17.3. The budget and sample ladders: limits that never arrive</w:t>
      </w:r>
      <w:bookmarkEnd w:id="100067"/>
    </w:p>
    <w:p>
      <w:pPr>
        <w:spacing w:after="80" w:line="360"/>
        <w:ind w:firstLine="709"/>
        <w:jc w:val="both"/>
      </w:pPr>
      <text>The last two ladders honestly display slow convergence. Ladder L-D raises the attempt budget across forty-two orders of magnitude, from 10</text>
      <text>6</text>
      <text> to 10</text>
      <text>48</text>
      <text>: the death temperature T_death(N) = B</text>
      <text>0</text>
      <text>/ln(Nν/ε_H) falls only from 0.004610 to 0.001553 — the invariant T_death·ln(Nν/ε_H) = B</text>
      <text>0</text>
      <text> holds at all eight levels to fifty digits, but the rate 1/ln N means that no finite budget buys a warm sector: the limit is T_death(∞) = 0, and the protection of the lock is categorical (cold), not quantitative (budget). Ladder L-E raises the binomial sample of the P_esc estimate from 10</text>
      <text>3</text>
      <text> to 10</text>
      <text>7</text>
      <text> at the pinned seed: all five standardized deviations lie within |z| ≤ 1.2 — the law n^{−1/2} is confirmed, the realization slope of −0.6 against the theoretical −0.5 being a fluctuation of the concrete realization; the Wilson intervals contract as prescribed, and the product 1.96·SE(10</text>
      <text>4</text>
      <text>) = 4.3×10</text>
      <text>-3</text>
      <text> reproduces the canonical budget of C5, ± 0.0043 — the ladder merges with its historical anchor. The limits of both ladders are known in advance (0 and 0.2433), so their role is not discovery but calibration of the speed at which any future measurement approaches the already proven.</text>
    </w:p>
    <w:p>
      <w:pPr>
        <w:keepNext/>
        <w:spacing w:after="4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924175"/>
                    </a:xfrm>
                    <a:prstGeom prst="rect">
                      <a:avLst/>
                    </a:prstGeom>
                  </pic:spPr>
                </pic:pic>
              </a:graphicData>
            </a:graphic>
          </wp:inline>
        </w:drawing>
      </w:r>
    </w:p>
    <w:p>
      <w:pPr>
        <w:spacing w:after="200" w:before="60" w:line="300"/>
        <w:jc w:val="center"/>
      </w:pPr>
      <text>Fig. 17.1. Five ladders to infinity: L-A — the errors of both branches against the integration time with the resolution threshold 1/Δν ≈ 865 periods; L-B — the solver order 4 and the Richardson extrapolation (stars); L-C — the three-point continuum extrapolation over six rung triples (0–5.6×10</text>
      <text>-17</text>
      <text>); L-D — the slow 1/ln N law of the attempt budget; L-E — the binomial ladder with |z| ≤ 1.2; the summary of measured orders.</text>
    </w:p>
    <w:p>
      <w:pPr>
        <w:keepNext/>
        <w:spacing w:after="80" w:before="200"/>
        <w:jc w:val="center"/>
      </w:pPr>
      <text>Table 17.1. Summary of the five ladders: levels, order, limit, status</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ladder</text>
          </w:p>
        </w:tc>
        <w:tc>
          <w:tcPr>
            <w:tcW w:type="pct" w:w="26%"/>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levels</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observed order</text>
          </w:p>
        </w:tc>
        <w:tc>
          <w:tcPr>
            <w:tcW w:type="pct" w:w="2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limit</text>
          </w:p>
        </w:tc>
        <w:tc>
          <w:tcPr>
            <w:tcW w:type="pct" w:w="18%"/>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status</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L-A time</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T_int = 128…4096 periods</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≈1–2 (DFT + interpolation); branches resolve at T &gt; 865</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laws of T19 (exact)</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L-B step</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h/P = 1/16…1/512</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 = 4.0956; Richardson dev 2.5×10</text>
            <text>-11</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laws of T19 (exact)</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L-C volume</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triples {4,8,16}…{128,256,512}</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exact two-term law (chapter 14)</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Δ_F,min = 0.181777</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extrap: 0–5.6×10</text>
            <text>-17</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L-D budget</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log</text>
            <text>10</text>
            <text>N = 6…48</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1/ln N (invariant = B</text>
            <text>0</text>
            <text> at 50 digits)</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T_death(∞) = 0</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analytic</text>
          </w:p>
        </w:tc>
      </w:tr>
      <w:tr>
        <w:trPr>
          <w:cantSplit/>
        </w:trPr>
        <w:tc>
          <w:tcPr>
            <w:tcW w:type="pct" w:w="1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 sample</text>
          </w:p>
        </w:tc>
        <w:tc>
          <w:tcPr>
            <w:tcW w:type="pct" w:w="26%"/>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 = 10</text>
            <text>3</text>
            <text>…10</text>
            <text>7</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n^{−1/2}, all |z| ≤ 1.2</text>
          </w:p>
        </w:tc>
        <w:tc>
          <w:tcPr>
            <w:tcW w:type="pct" w:w="2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P_esc = 0.2433 (T6)</text>
          </w:p>
        </w:tc>
        <w:tc>
          <w:tcPr>
            <w:tcW w:type="pct" w:w="18%"/>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measured-law</text>
          </w:p>
        </w:tc>
      </w:tr>
    </w:tbl>
    <w:p>
      <w:pPr>
        <w:spacing w:after="160"/>
      </w:pPr>
    </w:p>
    <w:p>
      <w:pPr>
        <w:keepNext/>
        <w:spacing w:after="80" w:before="200"/>
        <w:jc w:val="center"/>
      </w:pPr>
      <text>Table 17.2. New predictions of the ladder layer (P-L1…P-L3)</text>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code</text>
          </w:p>
        </w:tc>
        <w:tc>
          <w:tcPr>
            <w:tcW w:type="pct" w:w="4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prediction</text>
          </w:p>
        </w:tc>
        <w:tc>
          <w:tcPr>
            <w:tcW w:type="pct" w:w="22%"/>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precision</text>
          </w:p>
        </w:tc>
        <w:tc>
          <w:tcPr>
            <w:tcW w:type="pct" w:w="24%"/>
            <w:tcBorders>
              <w:top w:val="none" w:color="FFFFFF" w:sz="0"/>
              <w:left w:val="none" w:color="FFFFFF" w:sz="0"/>
              <w:bottom w:val="single" w:color="000000" w:sz="4"/>
              <w:right w:val="none" w:color="FFFFFF" w:sz="0"/>
            </w:tcBorders>
            <w:shd w:fill="FFFFFF" w:val="clear"/>
            <w:tcMar>
              <w:top w:type="dxa" w:w="60"/>
              <w:left w:type="dxa" w:w="100"/>
              <w:bottom w:type="dxa" w:w="60"/>
              <w:right w:type="dxa" w:w="100"/>
            </w:tcMar>
          </w:tcPr>
          <w:p>
            <w:pPr>
              <w:spacing w:line="260"/>
              <w:jc w:val="center"/>
            </w:pPr>
            <text>falsifier</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P-L1</text>
          </w:p>
        </w:tc>
        <w:tc>
          <w:tcPr>
            <w:tcW w:type="pct" w:w="4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frequency error of the linearized flow decays as 1/T_int to a step-bias plateau removed by the h</text>
            <text>4</text>
            <text> ladder with Richardson</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levels 128–4096; p = 4.0956</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measured order ≠ 4 of the solver, or no plateau</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P-L2</text>
          </w:p>
        </w:tc>
        <w:tc>
          <w:tcPr>
            <w:tcW w:type="pct" w:w="4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the three-point Richardson extrapolation reproduces Δ_F,min with dev ≤ 10</text>
            <text>-12</text>
            <text> on any triple of ladder rungs</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0–5.6×10</text>
            <text>-17</text>
            <text> over six triples</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extrapolation converging worse than 10</text>
            <text>-12</text>
          </w:p>
        </w:tc>
      </w:tr>
      <w:tr>
        <w:trPr>
          <w:cantSplit/>
        </w:trPr>
        <w:tc>
          <w:tcPr>
            <w:tcW w:type="pct" w:w="1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P-L3</text>
          </w:p>
        </w:tc>
        <w:tc>
          <w:tcPr>
            <w:tcW w:type="pct" w:w="4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binomial deviations of P_esc stay within |z| ≤ 3 for any seed of the package family</text>
          </w:p>
        </w:tc>
        <w:tc>
          <w:tcPr>
            <w:tcW w:type="pct" w:w="22%"/>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5 levels, |z| ≤ 1.2</text>
          </w:p>
        </w:tc>
        <w:tc>
          <w:tcPr>
            <w:tcW w:type="pct" w:w="24%"/>
            <w:tcBorders>
              <w:top w:val="none" w:color="FFFFFF" w:sz="0"/>
              <w:left w:val="none" w:color="FFFFFF" w:sz="0"/>
              <w:bottom w:val="none" w:color="FFFFFF" w:sz="0"/>
              <w:right w:val="none" w:color="FFFFFF" w:sz="0"/>
            </w:tcBorders>
            <w:tcMar>
              <w:top w:type="dxa" w:w="40"/>
              <w:left w:type="dxa" w:w="100"/>
              <w:bottom w:type="dxa" w:w="40"/>
              <w:right w:type="dxa" w:w="100"/>
            </w:tcMar>
          </w:tcPr>
          <w:p>
            <w:pPr>
              <w:spacing w:line="250"/>
              <w:jc w:val="left"/>
            </w:pPr>
            <text>a persistent |z| &gt; 3 under a reproducible protocol</text>
          </w:p>
        </w:tc>
      </w:tr>
    </w:tbl>
    <w:p>
      <w:pPr>
        <w:spacing w:after="160"/>
      </w:pPr>
    </w:p>
    <w:p>
      <w:pPr>
        <w:spacing w:after="80" w:line="360"/>
        <w:ind w:firstLine="709"/>
        <w:jc w:val="both"/>
      </w:pPr>
      <text>The semantic closure of the chapter lies in its combination with chapter 15. While the branch laws were a measured-law, the ladders L-A and L-B measured how quickly numerics approaches numerics; now that the targets of the ladders have become a theorem, the same ladders measure the distance from any measurement to a truth that has a closed form. This is the methodological summary of edition v2.2.0: the package learned not only to compute limits but to prove them — and then to calibrate the speed of approach to them with five independent ladders, each with its own order, its own limit and its own falsifier.</text>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333333"/>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333333"/>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2"/>
      </w:pBdr>
      <w:spacing w:after="60"/>
      <w:jc w:val="center"/>
    </w:pPr>
    <w:r>
      <w:rPr>
        <w:rFonts w:ascii="Times New Roman" w:eastAsia="Times New Roman" w:hAnsi="Times New Roman"/>
        <w:color w:val="333333"/>
        <w:sz w:val="18"/>
        <w:szCs w:val="18"/>
      </w:rPr>
      <w:t xml:space="preserve">Quark–Hawking Bridge — a monolithic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2"/>
      </w:pBdr>
      <w:spacing w:after="60"/>
      <w:jc w:val="center"/>
    </w:pPr>
    <w:r>
      <w:rPr>
        <w:rFonts w:ascii="Times New Roman" w:eastAsia="Times New Roman" w:hAnsi="Times New Roman"/>
        <w:color w:val="333333"/>
        <w:sz w:val="18"/>
        <w:szCs w:val="18"/>
      </w:rPr>
      <w:t xml:space="preserve">Quark–Hawking Bridge — a monolithic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400"/>
      <w:outlineLvl w:val="0"/>
    </w:pPr>
    <w:rPr>
      <w:rFonts w:ascii="Times New Roman" w:eastAsia="Times New Roman" w:hAnsi="Times New Roman"/>
      <w:b/>
      <w:bCs/>
      <w:color w:val="1A1A1A"/>
      <w:sz w:val="32"/>
      <w:szCs w:val="32"/>
    </w:rPr>
  </w:style>
  <w:style w:type="paragraph" w:styleId="Heading2">
    <w:name w:val="Heading 2"/>
    <w:basedOn w:val="Normal"/>
    <w:next w:val="Normal"/>
    <w:qFormat/>
    <w:pPr>
      <w:spacing w:after="120" w:before="300" w:line="380"/>
      <w:outlineLvl w:val="1"/>
    </w:pPr>
    <w:rPr>
      <w:rFonts w:ascii="Times New Roman" w:eastAsia="Times New Roman" w:hAnsi="Times New Roman"/>
      <w:b/>
      <w:bCs/>
      <w:color w:val="1A1A1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a4872aaed856e07b7606477171f7cb3bb3acd7c.png"/><Relationship Id="rId12" Type="http://schemas.openxmlformats.org/officeDocument/2006/relationships/image" Target="media/0e886b0d2785d6fbeffe699de4dc12cac9c69a30.png"/><Relationship Id="rId13" Type="http://schemas.openxmlformats.org/officeDocument/2006/relationships/image" Target="media/b61e26e4e9767cc65ca49ed0442a55ec57638089.png"/><Relationship Id="rId14" Type="http://schemas.openxmlformats.org/officeDocument/2006/relationships/image" Target="media/9eaeec34dc1e5504419ca9c137fb693547fd3008.png"/><Relationship Id="rId15" Type="http://schemas.openxmlformats.org/officeDocument/2006/relationships/image" Target="media/ef66119a4fb816cff22264f096a5f5ac3af7c5f1.png"/><Relationship Id="rId16" Type="http://schemas.openxmlformats.org/officeDocument/2006/relationships/image" Target="media/9156d728bc1b4b2423230eb728b77bb6494bb864.png"/><Relationship Id="rId17" Type="http://schemas.openxmlformats.org/officeDocument/2006/relationships/image" Target="media/6e5213d96adab617afd395969511a92aa0bca6bb.png"/><Relationship Id="rId18" Type="http://schemas.openxmlformats.org/officeDocument/2006/relationships/image" Target="media/872327105ca48e31a866544f63d70cfd59292dca.png"/><Relationship Id="rId19" Type="http://schemas.openxmlformats.org/officeDocument/2006/relationships/image" Target="media/dfcb9c3a18e495d9478230067a217ff6112bbfb5.png"/><Relationship Id="rId20" Type="http://schemas.openxmlformats.org/officeDocument/2006/relationships/image" Target="media/f1ccb966e817d36ccba27227debae271d6da3b73.png"/><Relationship Id="rId21" Type="http://schemas.openxmlformats.org/officeDocument/2006/relationships/image" Target="media/8542f67250bb902572fe21c55c5bbfe9b5accbe1.png"/><Relationship Id="rId22" Type="http://schemas.openxmlformats.org/officeDocument/2006/relationships/image" Target="media/78c62757927fd06472482b50309b943237d7249d.png"/><Relationship Id="rId23" Type="http://schemas.openxmlformats.org/officeDocument/2006/relationships/image" Target="media/6b5b9a9a7ce32bf8313b405cba92da05553ff914.png"/><Relationship Id="rId24" Type="http://schemas.openxmlformats.org/officeDocument/2006/relationships/image" Target="media/df5c7cc13598bc8960359ff0565880728ca927cb.png"/><Relationship Id="rId25" Type="http://schemas.openxmlformats.org/officeDocument/2006/relationships/image" Target="media/fbb9504e56a0b5f1df0acfef52f04e2773c47abb.png"/><Relationship Id="rId26" Type="http://schemas.openxmlformats.org/officeDocument/2006/relationships/image" Target="media/162777c82a86a927323892b3f01d19f805ae66e7.png"/><Relationship Id="rId27" Type="http://schemas.openxmlformats.org/officeDocument/2006/relationships/image" Target="media/a19f76501c75d2e8b907f7c83c46ee02e7b09953.png"/><Relationship Id="rId28" Type="http://schemas.openxmlformats.org/officeDocument/2006/relationships/image" Target="media/6c46a5de22fcf2bb09ae213764441fdfe07b1872.png"/><Relationship Id="rId29" Type="http://schemas.openxmlformats.org/officeDocument/2006/relationships/image" Target="media/63a4eb1a7720436b638a2b9a06a6b0bd407d014d.png"/><Relationship Id="rId30" Type="http://schemas.openxmlformats.org/officeDocument/2006/relationships/image" Target="media/dc34505874d8e8f61dcf77524f07b9652fe472bd.png"/><Relationship Id="rId31" Type="http://schemas.openxmlformats.org/officeDocument/2006/relationships/image" Target="media/e18498a8c434703fbc844c2c0fc665c8789054f6.png"/><Relationship Id="rId32" Type="http://schemas.openxmlformats.org/officeDocument/2006/relationships/image" Target="media/68df4e9aa93b519795030f5557f34943c7a0d0df.png"/><Relationship Id="rId33" Type="http://schemas.openxmlformats.org/officeDocument/2006/relationships/image" Target="media/b269d3a68b69366ca3ac7cc75d9a6cd436664e71.png"/><Relationship Id="rId34" Type="http://schemas.openxmlformats.org/officeDocument/2006/relationships/image" Target="media/c62f960c51f8542990205f308d96414cf521f8db.png"/><Relationship Id="rId35" Type="http://schemas.openxmlformats.org/officeDocument/2006/relationships/image" Target="media/d04c53b2b7602a1ad27753b37fdfd301cb203dae.png"/><Relationship Id="rId36" Type="http://schemas.openxmlformats.org/officeDocument/2006/relationships/image" Target="media/b57a17de00716cac36b5847c0c2ba5229ec289f0.png"/><Relationship Id="rId37" Type="http://schemas.openxmlformats.org/officeDocument/2006/relationships/image" Target="media/77a5e9307c7a3aad80e293ab0d41c196e2b8a42d.png"/><Relationship Id="rId38" Type="http://schemas.openxmlformats.org/officeDocument/2006/relationships/image" Target="media/af9cbed899e46d8b8e16d3bcc5c293cb6da58170.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Quark-Hawking Bridge: A Monolithic Study</dc:title>
  <dc:creator>Z.ai</dc:creator>
  <dc:description>QHB unified monolithic monograph</dc:description>
  <cp:lastModifiedBy>Un-named</cp:lastModifiedBy>
  <cp:revision>1</cp:revision>
  <dcterms:created xsi:type="dcterms:W3CDTF">2026-10-10T09:56:58.709Z</dcterms:created>
  <dcterms:modified xsi:type="dcterms:W3CDTF">2026-10-10T09:56:58.709Z</dcterms:modified>
</cp:coreProperties>
</file>

<file path=docProps/custom.xml><?xml version="1.0" encoding="utf-8"?>
<Properties xmlns="http://schemas.openxmlformats.org/officeDocument/2006/custom-properties" xmlns:vt="http://schemas.openxmlformats.org/officeDocument/2006/docPropsVTypes"/>
</file>