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A1A1A" w:val="clear"/>
          </w:tcPr>
          <w:p>
            <w:pPr>
              <w:pBdr>
                <w:top w:val="single" w:color="C9A84C" w:sz="18" w:space="20"/>
              </w:pBdr>
              <w:spacing w:after="200" w:before="1200"/>
              <w:ind w:left="1000" w:right="1000"/>
            </w:pPr>
          </w:p>
          <w:p>
            <w:pPr>
              <w:spacing w:before="1800"/>
            </w:pPr>
          </w:p>
          <w:p>
            <w:pPr>
              <w:spacing w:after="500"/>
              <w:jc w:val="center"/>
            </w:pPr>
            <w:r>
              <w:rPr>
                <w:rFonts w:ascii="Calibri"/>
                <w:color w:val="C9A84C"/>
                <w:spacing w:val="40"/>
                <w:sz w:val="18"/>
                <w:szCs w:val="18"/>
              </w:rPr>
              <w:t xml:space="preserve">S  T  R  A  T  E  G  Y     M  A  P  P  I  N  G</w:t>
            </w:r>
          </w:p>
          <w:p>
            <w:pPr>
              <w:spacing w:after="80" w:line="920" w:lineRule="atLeast"/>
              <w:jc w:val="center"/>
            </w:pPr>
            <w:r>
              <w:rPr>
                <w:rFonts w:ascii="Times New Roman" w:eastAsia="SimHei" w:hAnsi="Times New Roman"/>
                <w:b/>
                <w:bCs/>
                <w:color w:val="FFFFFF"/>
                <w:sz w:val="80"/>
                <w:szCs w:val="80"/>
              </w:rPr>
              <w:t xml:space="preserve">C9–C12 and the 15-</w:t>
            </w:r>
          </w:p>
          <w:p>
            <w:pPr>
              <w:spacing w:after="300" w:line="920" w:lineRule="atLeast"/>
              <w:jc w:val="center"/>
            </w:pPr>
            <w:r>
              <w:rPr>
                <w:rFonts w:ascii="Times New Roman" w:eastAsia="SimHei" w:hAnsi="Times New Roman"/>
                <w:b/>
                <w:bCs/>
                <w:color w:val="FFFFFF"/>
                <w:sz w:val="80"/>
                <w:szCs w:val="80"/>
              </w:rPr>
              <w:t xml:space="preserve">Step Program</w:t>
            </w:r>
          </w:p>
          <w:p>
            <w:pPr>
              <w:spacing w:after="400"/>
              <w:jc w:val="center"/>
            </w:pPr>
            <w:r>
              <w:rPr>
                <w:rFonts w:ascii="Times New Roman" w:eastAsia="SimSun" w:hAnsi="Times New Roman"/>
                <w:color w:val="B0B8C0"/>
                <w:sz w:val="24"/>
                <w:szCs w:val="24"/>
              </w:rPr>
              <w:t xml:space="preserve">A standalone document: tracing the QHB campaigns across the strategic program</w:t>
            </w:r>
          </w:p>
          <w:p>
            <w:pPr>
              <w:spacing w:before="1200"/>
            </w:pPr>
          </w:p>
          <w:p>
            <w:pPr>
              <w:spacing w:after="100" w:line="414" w:lineRule="atLeast"/>
              <w:jc w:val="center"/>
            </w:pPr>
            <w:r>
              <w:rPr>
                <w:rFonts w:ascii="Times New Roman" w:eastAsia="SimSun" w:hAnsi="Times New Roman"/>
                <w:color w:val="90989F"/>
                <w:sz w:val="36"/>
                <w:szCs w:val="36"/>
              </w:rPr>
              <w:t xml:space="preserve">QHB v1.3.0</w:t>
            </w:r>
          </w:p>
          <w:p>
            <w:pPr>
              <w:spacing w:after="100" w:line="414" w:lineRule="atLeast"/>
              <w:jc w:val="center"/>
            </w:pPr>
            <w:r>
              <w:rPr>
                <w:rFonts w:ascii="Times New Roman" w:eastAsia="SimSun" w:hAnsi="Times New Roman"/>
                <w:color w:val="90989F"/>
                <w:sz w:val="36"/>
                <w:szCs w:val="36"/>
              </w:rPr>
              <w:t xml:space="preserve">15 steps · 12 campaigns · 30 claims</w:t>
            </w:r>
          </w:p>
          <w:p>
            <w:pPr>
              <w:spacing w:after="100" w:line="414" w:lineRule="atLeast"/>
              <w:jc w:val="center"/>
            </w:pPr>
            <w:r>
              <w:rPr>
                <w:rFonts w:ascii="Times New Roman" w:eastAsia="SimSun" w:hAnsi="Times New Roman"/>
                <w:color w:val="90989F"/>
                <w:sz w:val="36"/>
                <w:szCs w:val="36"/>
              </w:rPr>
              <w:t xml:space="preserve">October 2026</w:t>
            </w:r>
          </w:p>
          <w:p>
            <w:pPr>
              <w:spacing w:before="2000"/>
            </w:pPr>
          </w:p>
          <w:p>
            <w:pPr>
              <w:pBdr>
                <w:bottom w:val="single" w:color="C9A84C" w:sz="18" w:space="20"/>
              </w:pBdr>
              <w:spacing w:before="200"/>
              <w:ind w:left="1000" w:right="1000"/>
              <w:jc w:val="center"/>
            </w:pPr>
            <w:r>
              <w:rPr>
                <w:rFonts w:ascii="Arial"/>
                <w:color w:val="687078"/>
                <w:sz w:val="18"/>
                <w:szCs w:val="18"/>
              </w:rPr>
              <w:t xml:space="preserve">QHB Research · Ink &amp; Gold Edition</w:t>
            </w:r>
          </w:p>
        </w:tc>
      </w:tr>
    </w:tbl>
    <w:p>
      <w:pPr>
        <w:sectPr>
          <w:pgSz w:w="11906" w:h="16838" w:orient="portrait"/>
          <w:pgMar w:top="0" w:right="0" w:bottom="0" w:left="0" w:header="708" w:footer="708" w:gutter="0"/>
          <w:docGrid w:linePitch="360"/>
        </w:sectPr>
      </w:pPr>
    </w:p>
    <w:p>
      <w:pPr>
        <w:spacing w:after="240" w:before="240"/>
        <w:jc w:val="center"/>
      </w:pPr>
      <w:r>
        <w:rPr>
          <w:rFonts w:ascii="Times New Roman" w:eastAsia="SimHei" w:hAnsi="Times New Roman"/>
          <w:b/>
          <w:bCs/>
          <w:sz w:val="30"/>
          <w:szCs w:val="30"/>
        </w:rPr>
        <w:t xml:space="preserve">Abstract</w:t>
      </w:r>
    </w:p>
    <w:p>
      <w:pPr>
        <w:spacing w:after="80" w:line="312"/>
        <w:ind w:firstLine="567"/>
        <w:jc w:val="both"/>
      </w:pPr>
      <w:r>
        <w:rPr>
          <w:rFonts w:ascii="Times New Roman" w:eastAsia="SimSun" w:hAnsi="Times New Roman"/>
          <w:color w:val="000000"/>
          <w:sz w:val="24"/>
          <w:szCs w:val="24"/>
        </w:rPr>
        <w:t xml:space="preserve">This document links the C9–C12 campaigns of the Quark–Hawking Bridge v1.3.0 package to the fifteen-step strategic program and records which step is discharged by which campaign, where the evidence lives, and which items remain open. The program is the roadmap of the confinement study, from fixing the model class to a reproducible release; the campaigns are its executive mechanism.</w:t>
      </w:r>
    </w:p>
    <w:p>
      <w:pPr>
        <w:spacing w:after="80" w:line="312"/>
        <w:ind w:firstLine="567"/>
        <w:jc w:val="both"/>
      </w:pPr>
      <w:r>
        <w:rPr>
          <w:rFonts w:ascii="Times New Roman" w:eastAsia="SimSun" w:hAnsi="Times New Roman"/>
          <w:color w:val="000000"/>
          <w:sz w:val="24"/>
          <w:szCs w:val="24"/>
        </w:rPr>
        <w:t xml:space="preserve">The key tracing conclusion: steps 10–14 of the program are fully discharged. The phase map (step 10) proves the gap never closes in the window; the competing models (step 11) separate the causal channels and fix the validity boundary; the classical anchor (step 12) delivers spectral stability and the static barrier; the Evidence Engine (step 13) converts everything into a registry of falsifiable claims; the asymmetry lock (step 14) proves the gap is permanent under complete matter–antimatter asymmetry and that free quarks are impossible.</w:t>
      </w:r>
    </w:p>
    <w:p>
      <w:pPr>
        <w:spacing w:after="360" w:before="480"/>
        <w:jc w:val="center"/>
      </w:pPr>
      <w:r>
        <w:rPr>
          <w:rFonts w:ascii="Times New Roman" w:eastAsia="SimHei" w:hAnsi="Times New Roman"/>
          <w:b/>
          <w:bCs/>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Purpose of the document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The 15-step program: consolidated tracing</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Step 10 ↔ C9: the phase map</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Step 11 ↔ C10: competing models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Step 12 ↔ C11: the classical anchor</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Step 13 ↔ the Evidence Engine</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7. Step 14 ↔ C12: the asymmetry lock</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8. Step 15 and the open items</w:t>
            </w:r>
            <w:r>
              <w:tab/>
            </w:r>
            <w:r>
              <w:fldChar w:fldCharType="begin"/>
            </w:r>
            <w:r>
              <w:instrText xml:space="preserve"> PAGEREF _Toc100007 \h </w:instrText>
            </w:r>
            <w:r>
              <w:fldChar w:fldCharType="separate"/>
            </w:r>
            <w:r>
              <w:t>4</w:t>
            </w:r>
            <w:r>
              <w:fldChar w:fldCharType="end"/>
            </w:r>
          </w:hyperlink>
        </w:p>
        <w:p>
          <w:r>
            <w:fldChar w:fldCharType="end"/>
          </w:r>
        </w:p>
      </w:sdtContent>
    </w:sdt>
    <w:p>
      <w:pPr>
        <w:spacing w:before="200"/>
      </w:pPr>
      <w:r>
        <w:rPr>
          <w:rFonts w:ascii="Times New Roman" w:eastAsia="SimSun" w:hAnsi="Times New Roman"/>
          <w:i/>
          <w:iCs/>
          <w:color w:val="888888"/>
          <w:sz w:val="18"/>
          <w:szCs w:val="18"/>
        </w:rPr>
        <w:t xml:space="preserve">Примечание: оглавление построено на кодах полей. После редактирования щёлкните по оглавлению правой кнопкой и выберите «Обновить поле», чтобы обновить номера страниц.</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hAnsi="Times New Roman"/>
          <w:b/>
          <w:bCs/>
          <w:color w:val="1A1A1A"/>
          <w:sz w:val="32"/>
          <w:szCs w:val="32"/>
        </w:rPr>
        <w:t xml:space="preserve">1. Purpose of the document</w:t>
      </w:r>
      <w:bookmarkEnd w:id="100000"/>
    </w:p>
    <w:p>
      <w:pPr>
        <w:spacing w:after="80" w:line="312"/>
        <w:ind w:firstLine="567"/>
        <w:jc w:val="both"/>
      </w:pPr>
      <w:r>
        <w:rPr>
          <w:rFonts w:ascii="Times New Roman" w:eastAsia="SimSun" w:hAnsi="Times New Roman"/>
          <w:color w:val="000000"/>
          <w:sz w:val="24"/>
          <w:szCs w:val="24"/>
        </w:rPr>
        <w:t xml:space="preserve">The fifteen-step program is a strategic checklist: it fixes the order in which the confinement question turns from an intuition into a verifiable system. The document solves the tracing task: for each step it names the discharging campaign, the result, the status, and the artifacts. Such tracing makes the program auditable — nothing is taken on faith, every item links to a data table and a test.</w:t>
      </w:r>
    </w:p>
    <w:p>
      <w:pPr>
        <w:spacing w:after="80" w:line="312"/>
        <w:ind w:firstLine="567"/>
        <w:jc w:val="both"/>
      </w:pPr>
      <w:r>
        <w:rPr>
          <w:rFonts w:ascii="Times New Roman" w:eastAsia="SimSun" w:hAnsi="Times New Roman"/>
          <w:color w:val="000000"/>
          <w:sz w:val="24"/>
          <w:szCs w:val="24"/>
        </w:rPr>
        <w:t xml:space="preserve">The document declares its boundaries: it describes the v1.3.0 state and promises no future results. The open items (steps depending on external data or new models) are listed in the final section together with the R1–R5 roadmap from ROADMAP.md. The reference format is uniform: a claim ID from data/claims.json, a table from data/, a test from tests/.</w:t>
      </w:r>
    </w:p>
    <w:p>
      <w:pPr>
        <w:pStyle w:val="Heading1"/>
        <w:spacing w:after="160" w:before="360" w:line="312"/>
      </w:pPr>
      <w:bookmarkStart w:id="100001" w:name="_Toc100001"/>
      <w:r>
        <w:rPr>
          <w:rFonts w:ascii="Times New Roman" w:eastAsia="SimHei" w:hAnsi="Times New Roman"/>
          <w:b/>
          <w:bCs/>
          <w:color w:val="1A1A1A"/>
          <w:sz w:val="32"/>
          <w:szCs w:val="32"/>
        </w:rPr>
        <w:t xml:space="preserve">2. The 15-step program: consolidated tracing</w:t>
      </w:r>
      <w:bookmarkEnd w:id="100001"/>
    </w:p>
    <w:p>
      <w:pPr>
        <w:keepNext/>
        <w:spacing w:after="80" w:before="160"/>
      </w:pPr>
      <w:r>
        <w:rPr>
          <w:rFonts w:ascii="Times New Roman" w:eastAsia="SimSun" w:hAnsi="Times New Roman"/>
          <w:b/>
          <w:bCs/>
          <w:color w:val="1A1A1A"/>
          <w:sz w:val="21"/>
          <w:szCs w:val="21"/>
        </w:rPr>
        <w:t xml:space="preserve">Table 2.1 — The fifteen steps and their coverage</w:t>
      </w:r>
    </w:p>
    <w:tbl>
      <w:tblPr>
        <w:tblW w:type="pct" w:w="100%"/>
        <w:tblBorders>
          <w:top w:val="single" w:color="C9A84C" w:sz="6"/>
          <w:left w:val="none"/>
          <w:bottom w:val="single" w:color="C9A84C" w:sz="6"/>
          <w:right w:val="none"/>
          <w:insideH w:val="single" w:color="DDD5C0" w:sz="2"/>
          <w:insideV w:val="none"/>
        </w:tblBorders>
      </w:tblPr>
      <w:tblGrid>
        <w:gridCol w:w="100"/>
        <w:gridCol w:w="100"/>
        <w:gridCol w:w="100"/>
        <w:gridCol w:w="100"/>
        <w:gridCol w:w="100"/>
      </w:tblGrid>
      <w:tr>
        <w:trPr>
          <w:cantSplit/>
          <w:tblHeader/>
        </w:trPr>
        <w:tc>
          <w:tcPr>
            <w:tcW w:type="pct" w:w="8%"/>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Step</w:t>
            </w:r>
          </w:p>
        </w:tc>
        <w:tc>
          <w:tcPr>
            <w:tcW w:type="pct" w:w="30%"/>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Content</w:t>
            </w:r>
          </w:p>
        </w:tc>
        <w:tc>
          <w:tcPr>
            <w:tcW w:type="pct" w:w="14%"/>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Campaign</w:t>
            </w:r>
          </w:p>
        </w:tc>
        <w:tc>
          <w:tcPr>
            <w:tcW w:type="pct" w:w="32%"/>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Key result</w:t>
            </w:r>
          </w:p>
        </w:tc>
        <w:tc>
          <w:tcPr>
            <w:tcW w:type="pct" w:w="16%"/>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Status</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1</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Fixing the model class and units</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N1–N8</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Normalization conditions in qhb/constants.py</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2</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Finite-volume gap Delta_F(beta, L)</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C1</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9x9 grid, all OPEN; min 0.174490</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3</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String tension and universality</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C2</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sigma(beta) = 0.25 (Delta/Delta_min)^1.5, err &lt; 1e-16</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4</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Thermal bridge and spin corrections</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C3</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pi^2/8, pi^5/704 — 100 digits; +11.28%</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5</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Detector response and its limits</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C4</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Tail beyond E_max unresolved</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honest-negative</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6</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Free three-body baseline</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C5</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P_esc = 0.2433 ± 0.0043</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honest-negative</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7</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Bound spectrum, Y-string</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C6</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Fermat 120°; equilateral minimum</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8</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Tunneling window</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C7</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T(0) = 9.21e-13; window closed</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9</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Statistical robustness</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C8</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bias 0.38 boot_se; jackknife agrees</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10</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Phase map: does the gap close?</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C9</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369/369 OPEN; valley (3.3583, 0.181777)</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11</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Competing causal models</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C10</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Shares 91.95/8.00/0.049 %; wing 4.071</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12</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Classical anchor: stability</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C11</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{0,0,±iω,±iω}; V* = 0.9359375; 0/300</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13</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Claims registry with budgets</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Engine</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30 claims, 5 statuses, falsifiers</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14</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The asymmetry lock</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C12</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eta_crit = 0.0908885; margin 1.49e8; T15</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8%"/>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15</w:t>
            </w:r>
          </w:p>
        </w:tc>
        <w:tc>
          <w:tcPr>
            <w:tcW w:type="pct" w:w="3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Reproducible release and audit</w:t>
            </w:r>
          </w:p>
        </w:tc>
        <w:tc>
          <w:tcPr>
            <w:tcW w:type="pct" w:w="14%"/>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tools</w:t>
            </w:r>
          </w:p>
        </w:tc>
        <w:tc>
          <w:tcPr>
            <w:tcW w:type="pct" w:w="32%"/>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IVP-12 12/12; determinism; 154 tests</w:t>
            </w:r>
          </w:p>
        </w:tc>
        <w:tc>
          <w:tcPr>
            <w:tcW w:type="pct" w:w="16%"/>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bl>
    <w:p>
      <w:pPr>
        <w:spacing w:after="80" w:line="312"/>
        <w:ind w:firstLine="567"/>
        <w:jc w:val="both"/>
      </w:pPr>
      <w:r>
        <w:rPr>
          <w:rFonts w:ascii="Times New Roman" w:eastAsia="SimSun" w:hAnsi="Times New Roman"/>
          <w:color w:val="000000"/>
          <w:sz w:val="24"/>
          <w:szCs w:val="24"/>
        </w:rPr>
        <w:t xml:space="preserve">All fifteen steps are discharged: steps 1–9 by campaigns C1–C8 and the normalization conditions, steps 10–14 by campaigns C9–C12 and the Evidence Engine, step 15 by the reproducibility pipeline and the audit. No step carries a partially-done status: where the result is negative (steps 5 and 6), the negative is recorded as a full-fledged result with a falsifier.</w:t>
      </w:r>
    </w:p>
    <w:p>
      <w:pPr>
        <w:pStyle w:val="Heading1"/>
        <w:spacing w:after="160" w:before="360" w:line="312"/>
      </w:pPr>
      <w:bookmarkStart w:id="100002" w:name="_Toc100002"/>
      <w:r>
        <w:rPr>
          <w:rFonts w:ascii="Times New Roman" w:eastAsia="SimHei" w:hAnsi="Times New Roman"/>
          <w:b/>
          <w:bCs/>
          <w:color w:val="1A1A1A"/>
          <w:sz w:val="32"/>
          <w:szCs w:val="32"/>
        </w:rPr>
        <w:t xml:space="preserve">3. Step 10 ↔ C9: the phase map</w:t>
      </w:r>
      <w:bookmarkEnd w:id="100002"/>
    </w:p>
    <w:p>
      <w:pPr>
        <w:spacing w:after="80" w:line="312"/>
        <w:ind w:firstLine="567"/>
        <w:jc w:val="both"/>
      </w:pPr>
      <w:r>
        <w:rPr>
          <w:rFonts w:ascii="Times New Roman" w:eastAsia="SimSun" w:hAnsi="Times New Roman"/>
          <w:color w:val="000000"/>
          <w:sz w:val="24"/>
          <w:szCs w:val="24"/>
        </w:rPr>
        <w:t xml:space="preserve">The tenth step demanded a systematic scan — not spot checks — of the question whether the gap closes anywhere. Campaign C9 discharges it with a 9×41 = 369-cell map: all OPEN. The statement is deliberately finite-range — it concerns the explored window beta ∈ [2.80, 4.55], L ∈ [6, 32] — and precisely therefore does not become an uncontrolled generalization.</w:t>
      </w:r>
    </w:p>
    <w:p>
      <w:pPr>
        <w:spacing w:after="80" w:line="312"/>
        <w:ind w:firstLine="567"/>
        <w:jc w:val="both"/>
      </w:pPr>
      <w:r>
        <w:rPr>
          <w:rFonts w:ascii="Times New Roman" w:eastAsia="SimSun" w:hAnsi="Times New Roman"/>
          <w:color w:val="000000"/>
          <w:sz w:val="24"/>
          <w:szCs w:val="24"/>
        </w:rPr>
        <w:t xml:space="preserve">The second part of the step is protection against extrapolation self-deception. The exploratory build's naive window predicted closure at beta_c = 2.9910; the direct probe measured 6.3 thresholds there (claim C9-FALS, honest-negative). The lesson is embedded in the documentation and in the tests: any future extrapolator must pass a direct probe check. Artifacts: c9_phase_grid.json, c9_valley.json, c9_naive_falsifier.json; tests test_c9_c10.py; figures fig_phase_map_*.</w:t>
      </w:r>
    </w:p>
    <w:p>
      <w:pPr>
        <w:pStyle w:val="Heading1"/>
        <w:spacing w:after="160" w:before="360" w:line="312"/>
      </w:pPr>
      <w:bookmarkStart w:id="100003" w:name="_Toc100003"/>
      <w:r>
        <w:rPr>
          <w:rFonts w:ascii="Times New Roman" w:eastAsia="SimHei" w:hAnsi="Times New Roman"/>
          <w:b/>
          <w:bCs/>
          <w:color w:val="1A1A1A"/>
          <w:sz w:val="32"/>
          <w:szCs w:val="32"/>
        </w:rPr>
        <w:t xml:space="preserve">4. Step 11 ↔ C10: competing models</w:t>
      </w:r>
      <w:bookmarkEnd w:id="100003"/>
    </w:p>
    <w:p>
      <w:pPr>
        <w:spacing w:after="80" w:line="312"/>
        <w:ind w:firstLine="567"/>
        <w:jc w:val="both"/>
      </w:pPr>
      <w:r>
        <w:rPr>
          <w:rFonts w:ascii="Times New Roman" w:eastAsia="SimSun" w:hAnsi="Times New Roman"/>
          <w:color w:val="000000"/>
          <w:sz w:val="24"/>
          <w:szCs w:val="24"/>
        </w:rPr>
        <w:t xml:space="preserve">The eleventh step required not picking the best model but honestly weighing the competing causal explanations of the signal. C10 decomposes the signal into three channels and measures the shares: A = 91.95 % (propagating), B = 8.00 % (braking), C = 0.049 % (contact). The additivity bias 1.3e-4 is separated from the shares and documented; the braking estimator B2 vanishes on the even control exactly — a SymPy identity, not a numerical accident.</w:t>
      </w:r>
    </w:p>
    <w:p>
      <w:pPr>
        <w:spacing w:after="80" w:line="312"/>
        <w:ind w:firstLine="567"/>
        <w:jc w:val="both"/>
      </w:pPr>
      <w:r>
        <w:rPr>
          <w:rFonts w:ascii="Times New Roman" w:eastAsia="SimSun" w:hAnsi="Times New Roman"/>
          <w:color w:val="000000"/>
          <w:sz w:val="24"/>
          <w:szCs w:val="24"/>
        </w:rPr>
        <w:t xml:space="preserve">The negative matters equally: out of window the model has no validity, and the residuals grow as (t−t1)^4.071. This result prevents the typical mistake of extrapolating a fit beyond its training window. The step's falsifier: the emergence of a stable fourth channel above 0.01 %, or a residual power outside [3.5, 4.7]. Artifacts: c10_shares.json, c10_braking.json, c10_out_of_window.json.</w:t>
      </w:r>
    </w:p>
    <w:p>
      <w:pPr>
        <w:pStyle w:val="Heading1"/>
        <w:spacing w:after="160" w:before="360" w:line="312"/>
      </w:pPr>
      <w:bookmarkStart w:id="100004" w:name="_Toc100004"/>
      <w:r>
        <w:rPr>
          <w:rFonts w:ascii="Times New Roman" w:eastAsia="SimHei" w:hAnsi="Times New Roman"/>
          <w:b/>
          <w:bCs/>
          <w:color w:val="1A1A1A"/>
          <w:sz w:val="32"/>
          <w:szCs w:val="32"/>
        </w:rPr>
        <w:t xml:space="preserve">5. Step 12 ↔ C11: the classical anchor</w:t>
      </w:r>
      <w:bookmarkEnd w:id="100004"/>
    </w:p>
    <w:p>
      <w:pPr>
        <w:spacing w:after="80" w:line="312"/>
        <w:ind w:firstLine="567"/>
        <w:jc w:val="both"/>
      </w:pPr>
      <w:r>
        <w:rPr>
          <w:rFonts w:ascii="Times New Roman" w:eastAsia="SimSun" w:hAnsi="Times New Roman"/>
          <w:color w:val="000000"/>
          <w:sz w:val="24"/>
          <w:szCs w:val="24"/>
        </w:rPr>
        <w:t xml:space="preserve">The twelfth step required a classical layer whose stability is provable rather than declared. C11 provides three provable elements: the spectrum {0, 0, ±iomega, ±iomega} with its symbolic polynomial (T11, exact), the Aref boundedness with the exact bound 2·sqrt(I) and the measured r_max = 2.7654 ≪ 12 (T12), and the static barrier V* = 0.9359375 with the maximum exactly at s = 1 and zero escapes out of three hundred trajectories (T13).</w:t>
      </w:r>
    </w:p>
    <w:p>
      <w:pPr>
        <w:spacing w:after="80" w:line="312"/>
        <w:ind w:firstLine="567"/>
        <w:jc w:val="both"/>
      </w:pPr>
      <w:r>
        <w:rPr>
          <w:rFonts w:ascii="Times New Roman" w:eastAsia="SimSun" w:hAnsi="Times New Roman"/>
          <w:color w:val="000000"/>
          <w:sz w:val="24"/>
          <w:szCs w:val="24"/>
        </w:rPr>
        <w:t xml:space="preserve">The anchor plays the role of the classical conservative in the program: if even the simplest classical dynamics already holds the configuration spectrally and barrier-wise, the only quantum escape channels are tunneling ones — and C7 closes those. Falsifiers: Re lambda ≠ 0, a single escape with E &lt; V*, an invariant drift above 1e-12. Artifacts: c11_spectrum.json, c11_rotation.json, c11_aref_run.json, c11_escape_scan.json.</w:t>
      </w:r>
    </w:p>
    <w:p>
      <w:pPr>
        <w:pStyle w:val="Heading1"/>
        <w:spacing w:after="160" w:before="360" w:line="312"/>
      </w:pPr>
      <w:bookmarkStart w:id="100005" w:name="_Toc100005"/>
      <w:r>
        <w:rPr>
          <w:rFonts w:ascii="Times New Roman" w:eastAsia="SimHei" w:hAnsi="Times New Roman"/>
          <w:b/>
          <w:bCs/>
          <w:color w:val="1A1A1A"/>
          <w:sz w:val="32"/>
          <w:szCs w:val="32"/>
        </w:rPr>
        <w:t xml:space="preserve">6. Step 13 ↔ the Evidence Engine</w:t>
      </w:r>
      <w:bookmarkEnd w:id="100005"/>
    </w:p>
    <w:p>
      <w:pPr>
        <w:spacing w:after="80" w:line="312"/>
        <w:ind w:firstLine="567"/>
        <w:jc w:val="both"/>
      </w:pPr>
      <w:r>
        <w:rPr>
          <w:rFonts w:ascii="Times New Roman" w:eastAsia="SimSun" w:hAnsi="Times New Roman"/>
          <w:color w:val="000000"/>
          <w:sz w:val="24"/>
          <w:szCs w:val="24"/>
        </w:rPr>
        <w:t xml:space="preserve">The thirteenth step is organizational: convert all results into a single registry of falsifiable claims. The Evidence Engine holds thirty claims in five statuses; each carries a falsifier and a five-field uncertainty budget (statistical, systematic, model, numerical, external). Hypotheses (HYPO-CONT) are stored separately and never cited as results; external values (eta_B, nugget bounds) carry the comparison status only.</w:t>
      </w:r>
    </w:p>
    <w:p>
      <w:pPr>
        <w:spacing w:after="80" w:line="312"/>
        <w:ind w:firstLine="567"/>
        <w:jc w:val="both"/>
      </w:pPr>
      <w:r>
        <w:rPr>
          <w:rFonts w:ascii="Times New Roman" w:eastAsia="SimSun" w:hAnsi="Times New Roman"/>
          <w:color w:val="000000"/>
          <w:sz w:val="24"/>
          <w:szCs w:val="24"/>
        </w:rPr>
        <w:t xml:space="preserve">The registry is the interface between computation and reading: the documentation, the monographs, the portal and the workbook reference claims by stable IDs. Changing a number in a campaign without updating the registry breaks the tests — artifact consistency is machine-checked. Artifacts: claims.json, audit_ivp12.json, twins.json, rebuild_hashes.json.</w:t>
      </w:r>
    </w:p>
    <w:p>
      <w:pPr>
        <w:pStyle w:val="Heading1"/>
        <w:spacing w:after="160" w:before="360" w:line="312"/>
      </w:pPr>
      <w:bookmarkStart w:id="100006" w:name="_Toc100006"/>
      <w:r>
        <w:rPr>
          <w:rFonts w:ascii="Times New Roman" w:eastAsia="SimHei" w:hAnsi="Times New Roman"/>
          <w:b/>
          <w:bCs/>
          <w:color w:val="1A1A1A"/>
          <w:sz w:val="32"/>
          <w:szCs w:val="32"/>
        </w:rPr>
        <w:t xml:space="preserve">7. Step 14 ↔ C12: the asymmetry lock</w:t>
      </w:r>
      <w:bookmarkEnd w:id="100006"/>
    </w:p>
    <w:p>
      <w:pPr>
        <w:spacing w:after="80" w:line="312"/>
        <w:ind w:firstLine="567"/>
        <w:jc w:val="both"/>
      </w:pPr>
      <w:r>
        <w:rPr>
          <w:rFonts w:ascii="Times New Roman" w:eastAsia="SimSun" w:hAnsi="Times New Roman"/>
          <w:color w:val="000000"/>
          <w:sz w:val="24"/>
          <w:szCs w:val="24"/>
        </w:rPr>
        <w:t xml:space="preserve">The fourteenth step is the substantive summit of the program: prove that the gap is permanent and free quarks are impossible. C12 discharges it in three moves. Move one (T14, exact): for any asymmetry eta &lt; eta_crit = Delta_F,min/2 = 0.0908885 the closure barrier stays positive; the worst profile loses exactly 2eta; the cosmological value eta_B = 6.1e-10 sits 1.49e8 times below the threshold. The 41-point eta map confirms the boundary numerically.</w:t>
      </w:r>
    </w:p>
    <w:p>
      <w:pPr>
        <w:spacing w:after="80" w:line="312"/>
        <w:ind w:firstLine="567"/>
        <w:jc w:val="both"/>
      </w:pPr>
      <w:r>
        <w:rPr>
          <w:rFonts w:ascii="Times New Roman" w:eastAsia="SimSun" w:hAnsi="Times New Roman"/>
          <w:color w:val="000000"/>
          <w:sz w:val="24"/>
          <w:szCs w:val="24"/>
        </w:rPr>
        <w:t xml:space="preserve">Move two (T15, honest-negative): the observational route of free quarks is closed — gap filling self-limits through negative feedback, zero saturated wells in 10^6 steps at eta_B; the positive control at eta = 0.5 cascades, demonstrating that the mechanism is not hard-coded. Move three (comparison): the combinatorial probability of a macroscopic accumulation is below 10^(−1.2e31), and the experimental search bounds agree with the zero prediction.</w:t>
      </w:r>
    </w:p>
    <w:p>
      <w:pPr>
        <w:spacing w:after="80" w:line="312"/>
        <w:ind w:firstLine="567"/>
        <w:jc w:val="both"/>
      </w:pPr>
      <w:r>
        <w:rPr>
          <w:rFonts w:ascii="Times New Roman" w:eastAsia="SimSun" w:hAnsi="Times New Roman"/>
          <w:color w:val="000000"/>
          <w:sz w:val="24"/>
          <w:szCs w:val="24"/>
        </w:rPr>
        <w:t xml:space="preserve">The step's summary: because of the complete matter–antimatter asymmetry the gap will always exist, and quarks cannot exist separately — scattering in the quantum field and filling the gaps, they would produce isolated large accumulations which are not observed; within the QHB model class this argument is proven quantitatively, with falsifiers, and without leaving the declared domain of applicability.</w:t>
      </w:r>
    </w:p>
    <w:p>
      <w:pPr>
        <w:pStyle w:val="Heading1"/>
        <w:spacing w:after="160" w:before="360" w:line="312"/>
      </w:pPr>
      <w:bookmarkStart w:id="100007" w:name="_Toc100007"/>
      <w:r>
        <w:rPr>
          <w:rFonts w:ascii="Times New Roman" w:eastAsia="SimHei" w:hAnsi="Times New Roman"/>
          <w:b/>
          <w:bCs/>
          <w:color w:val="1A1A1A"/>
          <w:sz w:val="32"/>
          <w:szCs w:val="32"/>
        </w:rPr>
        <w:t xml:space="preserve">8. Step 15 and the open items</w:t>
      </w:r>
      <w:bookmarkEnd w:id="100007"/>
    </w:p>
    <w:p>
      <w:pPr>
        <w:spacing w:after="80" w:line="312"/>
        <w:ind w:firstLine="567"/>
        <w:jc w:val="both"/>
      </w:pPr>
      <w:r>
        <w:rPr>
          <w:rFonts w:ascii="Times New Roman" w:eastAsia="SimSun" w:hAnsi="Times New Roman"/>
          <w:color w:val="000000"/>
          <w:sz w:val="24"/>
          <w:szCs w:val="24"/>
        </w:rPr>
        <w:t xml:space="preserve">The fifteenth step is the release step: a reproducible package, an audit, bilingual mirrors, tests. It is discharged by the make all pipeline: 31 tables with byte-identical rebuilds, IVP-12 12/12, 51 twin checks, 154 tests, determinism without drift. The release ships with monographs, the workbook and this document; all artifacts reference the claims registry.</w:t>
      </w:r>
    </w:p>
    <w:p>
      <w:pPr>
        <w:spacing w:after="80" w:line="312"/>
        <w:ind w:firstLine="567"/>
        <w:jc w:val="both"/>
      </w:pPr>
      <w:r>
        <w:rPr>
          <w:rFonts w:ascii="Times New Roman" w:eastAsia="SimSun" w:hAnsi="Times New Roman"/>
          <w:color w:val="000000"/>
          <w:sz w:val="24"/>
          <w:szCs w:val="24"/>
        </w:rPr>
        <w:t xml:space="preserve">The open items are listed honestly: the continuum limit remains a hypothesis (step 2 is finite-volume); the detector tail shape is unresolved; unequal vortex circulations and the temperature dependence of the lock are roadmap candidates R2–R3; the external comparison with the nugget literature needs proper references (R5). These items do not affect the discharged steps 10–14: their falsifiers do not intersect.</w:t>
      </w:r>
    </w:p>
    <w:p>
      <w:pPr>
        <w:keepNext/>
        <w:spacing w:after="80" w:before="160"/>
      </w:pPr>
      <w:r>
        <w:rPr>
          <w:rFonts w:ascii="Times New Roman" w:eastAsia="SimSun" w:hAnsi="Times New Roman"/>
          <w:b/>
          <w:bCs/>
          <w:color w:val="1A1A1A"/>
          <w:sz w:val="21"/>
          <w:szCs w:val="21"/>
        </w:rPr>
        <w:t xml:space="preserve">Table 8.1 — Open items and their falsifiers</w:t>
      </w:r>
    </w:p>
    <w:tbl>
      <w:tblPr>
        <w:tblW w:type="pct" w:w="100%"/>
        <w:tblBorders>
          <w:top w:val="single" w:color="C9A84C" w:sz="6"/>
          <w:left w:val="none"/>
          <w:bottom w:val="single" w:color="C9A84C" w:sz="6"/>
          <w:right w:val="none"/>
          <w:insideH w:val="single" w:color="DDD5C0" w:sz="2"/>
          <w:insideV w:val="none"/>
        </w:tblBorders>
      </w:tblPr>
      <w:tblGrid>
        <w:gridCol w:w="100"/>
        <w:gridCol w:w="100"/>
        <w:gridCol w:w="100"/>
      </w:tblGrid>
      <w:tr>
        <w:trPr>
          <w:cantSplit/>
          <w:tblHeader/>
        </w:trPr>
        <w:tc>
          <w:tcPr>
            <w:tcW w:type="pct" w:w="40%"/>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Item</w:t>
            </w:r>
          </w:p>
        </w:tc>
        <w:tc>
          <w:tcPr>
            <w:tcW w:type="pct" w:w="20%"/>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Type</w:t>
            </w:r>
          </w:p>
        </w:tc>
        <w:tc>
          <w:tcPr>
            <w:tcW w:type="pct" w:w="40%"/>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What would close it</w:t>
            </w:r>
          </w:p>
        </w:tc>
      </w:tr>
      <w:tr>
        <w:trPr>
          <w:cantSplit/>
        </w:trPr>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Continuum gap Delta_cont</w:t>
            </w:r>
          </w:p>
        </w:tc>
        <w:tc>
          <w:tcPr>
            <w:tcW w:type="pct" w:w="2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hypothesis</w:t>
            </w:r>
          </w:p>
        </w:tc>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L-convergence beyond 32</w:t>
            </w:r>
          </w:p>
        </w:tc>
      </w:tr>
      <w:tr>
        <w:trPr>
          <w:cantSplit/>
        </w:trPr>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Tail shape beyond E_max</w:t>
            </w:r>
          </w:p>
        </w:tc>
        <w:tc>
          <w:tcPr>
            <w:tcW w:type="pct" w:w="2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honest-negative</w:t>
            </w:r>
          </w:p>
        </w:tc>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Detector resolution (new C4 model)</w:t>
            </w:r>
          </w:p>
        </w:tc>
      </w:tr>
      <w:tr>
        <w:trPr>
          <w:cantSplit/>
        </w:trPr>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Unequal circulations</w:t>
            </w:r>
          </w:p>
        </w:tc>
        <w:tc>
          <w:tcPr>
            <w:tcW w:type="pct" w:w="2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roadmap R2</w:t>
            </w:r>
          </w:p>
        </w:tc>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Splitting of the ±iomega pair</w:t>
            </w:r>
          </w:p>
        </w:tc>
      </w:tr>
      <w:tr>
        <w:trPr>
          <w:cantSplit/>
        </w:trPr>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Temperature lock eta(T)</w:t>
            </w:r>
          </w:p>
        </w:tc>
        <w:tc>
          <w:tcPr>
            <w:tcW w:type="pct" w:w="2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roadmap R3</w:t>
            </w:r>
          </w:p>
        </w:tc>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Activation decay of the barrier</w:t>
            </w:r>
          </w:p>
        </w:tc>
      </w:tr>
      <w:tr>
        <w:trPr>
          <w:cantSplit/>
        </w:trPr>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Nugget literature</w:t>
            </w:r>
          </w:p>
        </w:tc>
        <w:tc>
          <w:tcPr>
            <w:tcW w:type="pct" w:w="2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roadmap R5</w:t>
            </w:r>
          </w:p>
        </w:tc>
        <w:tc>
          <w:tcPr>
            <w:tcW w:type="pct" w:w="4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Formatted references for C12-EXP</w:t>
            </w:r>
          </w:p>
        </w:tc>
      </w:tr>
    </w:tbl>
    <w:p>
      <w:pPr>
        <w:spacing w:after="120" w:before="60" w:line="312"/>
        <w:jc w:val="left"/>
      </w:pPr>
      <w:r>
        <w:rPr>
          <w:rFonts w:ascii="Times New Roman" w:eastAsia="SimSun" w:hAnsi="Times New Roman"/>
          <w:i/>
          <w:iCs/>
          <w:color w:val="68603F"/>
          <w:sz w:val="20"/>
          <w:szCs w:val="20"/>
        </w:rPr>
        <w:t xml:space="preserve">The falsifier-first policy extends to the roadmap: every new item starts with the statement of what would refute it.</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88887"/>
        <w:sz w:val="18"/>
        <w:szCs w:val="18"/>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88888"/>
        <w:sz w:val="18"/>
        <w:szCs w:val="18"/>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hAnsi="Times New Roman"/>
      <w:b/>
      <w:bCs/>
      <w:color w:val="1A1A1A"/>
      <w:sz w:val="32"/>
      <w:szCs w:val="32"/>
    </w:rPr>
  </w:style>
  <w:style w:type="paragraph" w:styleId="Heading2">
    <w:name w:val="Heading 2"/>
    <w:basedOn w:val="Normal"/>
    <w:next w:val="Normal"/>
    <w:qFormat/>
    <w:pPr>
      <w:spacing w:after="120" w:before="240" w:line="312"/>
      <w:outlineLvl w:val="1"/>
    </w:pPr>
    <w:rPr>
      <w:rFonts w:ascii="Times New Roman" w:eastAsia="SimHei" w:hAnsi="Times New Roman"/>
      <w:b/>
      <w:bCs/>
      <w:color w:val="3A332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C9–C12 and the 15-Step Program</dc:title>
  <dc:creator>QHB Research</dc:creator>
  <cp:lastModifiedBy>Un-named</cp:lastModifiedBy>
  <cp:revision>1</cp:revision>
  <dcterms:created xsi:type="dcterms:W3CDTF">2026-10-10T03:03:07.001Z</dcterms:created>
  <dcterms:modified xsi:type="dcterms:W3CDTF">2026-10-10T03:03:07.001Z</dcterms:modified>
</cp:coreProperties>
</file>

<file path=docProps/custom.xml><?xml version="1.0" encoding="utf-8"?>
<Properties xmlns="http://schemas.openxmlformats.org/officeDocument/2006/custom-properties" xmlns:vt="http://schemas.openxmlformats.org/officeDocument/2006/docPropsVTypes"/>
</file>