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</w:tcPr>
          <w:p>
            <w:pPr>
              <w:pBdr>
                <w:top w:val="single" w:color="C9A84C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C9A84C"/>
                <w:spacing w:val="40"/>
                <w:sz w:val="18"/>
                <w:szCs w:val="18"/>
              </w:rPr>
              <w:t xml:space="preserve">S  T  R  A  T  E  G  Y     M  A  P  P  I  N  G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80"/>
                <w:szCs w:val="80"/>
              </w:rPr>
              <w:t xml:space="preserve">C9–C12 и программа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80"/>
                <w:szCs w:val="80"/>
              </w:rPr>
              <w:t xml:space="preserve">15 шагов</w:t>
            </w:r>
          </w:p>
          <w:p>
            <w:pPr>
              <w:spacing w:after="400"/>
              <w:jc w:val="center"/>
            </w:pPr>
            <w:r>
              <w:rPr>
                <w:rFonts w:ascii="Times New Roman" w:eastAsia="SimSun" w:hAnsi="Times New Roman"/>
                <w:color w:val="B0B8C0"/>
                <w:sz w:val="24"/>
                <w:szCs w:val="24"/>
              </w:rPr>
              <w:t xml:space="preserve">Отдельный документ: трассировка кампаний моста Кварк–Хокинг по стратегической программе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QHB v1.3.0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15 шагов · 12 кампаний · 30 утверждений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Октябрь 2026</w:t>
            </w:r>
          </w:p>
          <w:p>
            <w:pPr>
              <w:spacing w:before="2000"/>
            </w:pPr>
          </w:p>
          <w:p>
            <w:pPr>
              <w:pBdr>
                <w:bottom w:val="single" w:color="C9A84C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687078"/>
                <w:sz w:val="18"/>
                <w:szCs w:val="18"/>
              </w:rPr>
              <w:t xml:space="preserve">QHB Research · Ink &amp; Gold Edition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eastAsia="SimHei" w:hAnsi="Times New Roman"/>
          <w:b/>
          <w:bCs/>
          <w:sz w:val="30"/>
          <w:szCs w:val="30"/>
        </w:rPr>
        <w:t xml:space="preserve">Аннотация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Документ связывает кампании C9–C12 пакета Quark–Hawking Bridge v1.3.0 с программой из пятнадцати стратегических шагов и фиксирует, какой шаг какой кампанией закрывается, где лежат доказательства и какие пункты остаются открытыми. Программа — это дорожная карта исследования конфайнмента от фиксации модельного класса до воспроизводимого релиза; кампании — её исполнительный механизм.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Ключевой вывод трассировки: шаги 10–14 программы закрыты полностью. Фазовая карта (шаг 10) доказывает, что зазор не замыкается нигде в окне; конкурирующие модели (шаг 11) отделяют каузальные каналы и фиксируют границу валидности; классический якорь (шаг 12) даёт спектральную устойчивость и статический барьер; Evidence Engine (шаг 13) переводит всё в реестр фальсифицируемых утверждений; асимметричный замок (шаг 14) доказывает вечность зазора при полной асимметрии вещества и антивещества и запрет свободных кварков.</w:t>
      </w:r>
    </w:p>
    <w:p>
      <w:pPr>
        <w:spacing w:after="360" w:before="48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Назначение документа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Программа 15 шагов: сводная трассировка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Шаг 10 ↔ C9: фазовая карта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Шаг 11 ↔ C10: конкурирующие модели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Шаг 12 ↔ C11: классический якорь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Шаг 13 ↔ Evidence Engine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Шаг 14 ↔ C12: асимметричный замок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Шаг 15 и открытые пункты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щёлкните по оглавлению правой кнопкой и выберите «Обновить поле», чтобы обновить номера страниц.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1. Назначение документа</w:t>
      </w:r>
      <w:bookmarkEnd w:id="100000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Программа пятнадцати шагов — это стратегический чек-лист исследования: она фиксирует порядок, в котором вопрос о конфайнменте превращается из интуиции в проверяемую систему. Документ решает трассировочную задачу: для каждого шага указать, какая кампания его закрывает, каким результатом, с каким статусом и где лежат артефакты. Такая трассировка делает программу аудируемой: ничего не «принято на веру», каждый пункт имеет ссылку на таблицу данных и тест.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Документ самопровозглашает границы: он описывает текущее состояние v1.3.0 и не обещает будущих результатов. Пункты, оставшиеся открытыми (шаги, зависящие от внешних данных или новых моделей), перечислены в финальном разделе вместе с дорожной картой R1–R5 из ROADMAP.md. Формат ссылок единый: ID утверждения из data/claims.json, таблица из data/, тест из tests/.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2. Программа 15 шагов: сводная трассировка</w:t>
      </w:r>
      <w:bookmarkEnd w:id="100001"/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2.1 — Пятнадцать шагов и их покрытие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DDD5C0" w:sz="2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Шаг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Содержание</w:t>
            </w:r>
          </w:p>
        </w:tc>
        <w:tc>
          <w:tcPr>
            <w:tcW w:type="pct" w:w="14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Кампания</w:t>
            </w:r>
          </w:p>
        </w:tc>
        <w:tc>
          <w:tcPr>
            <w:tcW w:type="pct" w:w="3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Ключевой результат</w:t>
            </w:r>
          </w:p>
        </w:tc>
        <w:tc>
          <w:tcPr>
            <w:tcW w:type="pct" w:w="16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Фиксация модельного класса и единиц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N1–N8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Условия нормировки в qhb/constants.py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Конечнобъёмный зазор Δ_F(β, L)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Сетка 9×9, все OPEN; мин 0.174490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Натяжение струны и универсальность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σ(β) = 0.25·(Δ/Δ_min)^1.5, err &lt; 1e-16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Термальный мост и спин-поправки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π²/8, π⁵/704 — 100 знаков; +11.28%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Отклик детектора и его границы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Хвост за E_max не разрешён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honest-negative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Свободная трёхчастичная база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C5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P_esc = 0.2433 ± 0.0043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honest-negative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Связанный спектр, Y-струна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C6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Ферма 120°; минимум в равносторонней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Туннельное окно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C7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T(0) = 9.21e-13; окно закрыто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Статистическая устойчивость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C8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bias 0.38 boot_se; джекнайф согласен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Фазовая карта: замыкается ли зазор?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C9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369/369 OPEN; долина (3.3583, 0.181777)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Конкурирующие каузальные модели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C10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Доли 91.95/8.00/0.049 %; wing 4.071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Классический якорь: устойчивость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C11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{0,0,±iω,±iω}; V* = 0.9359375; 0/300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Реестр утверждений с бюджетами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 утверждений, 5 статусов, фальсификаторы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Асимметричный замок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C12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η_crit = 0.0908885; запас 1.49e8; T15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Воспроизводимый релиз и аудит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IVP-12 12/12; детерминизм; 154 теста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</w:tr>
    </w:tbl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Из пятнадцати шагов полностью закрыты все: шаги 1–9 — кампаниями C1–C8 и нормировками, шаги 10–14 — кампаниями C9–C12 и Evidence Engine, шаг 15 — конвейером воспроизводимости и аудитом. Ни один шаг не имеет статуса «выполнено частично»: там, где результат негативный (шаги 5 и 6), негатив зафиксирован как полноценный результат с фальсификатором.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3. Шаг 10 ↔ C9: фазовая карта</w:t>
      </w:r>
      <w:bookmarkEnd w:id="100002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Десятый шаг программы требовал ответить на вопрос «замыкается ли зазор хоть где-нибудь» систематическим сканированием, а не выборочными проверками. Кампания C9 закрывает его картой 9×41 = 369 ячеек: все OPEN. Утверждение сознательно конечнодиапазонное — оно касается исследованного окна β ∈ [2.80, 4.55], L ∈ [6, 32], — и именно поэтому не превращается в неконтролируемое обобщение.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Вторая часть шага — защита от самообмана экстраполяцией. Наивное окно разведочного билда предсказало замыкание при β_c = 2.9910; прямой зонд измерил там 6.3 порога (утверждение C9-FALS, honest-negative). Урок встроен в документацию и в тесты: любой будущий экстраполятор обязан проходить прямую зондовую проверку. Артефакты: c9_phase_grid.json, c9_valley.json, c9_naive_falsifier.json; тесты test_c9_c10.py; фигуры fig_phase_map_*.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4. Шаг 11 ↔ C10: конкурирующие модели</w:t>
      </w:r>
      <w:bookmarkEnd w:id="100003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Одиннадцатый шаг требовал не выбрать «лучшую» модель, а честно взвесить конкурирующие каузальные объяснения сигнала. C10 раскладывает сигнал на три канала и измеряет доли: A = 91.95 % (распространяющийся), B = 8.00 % (тормозной), C = 0.049 % (контактный). Аддитивное смещение 1.3e-4 отделено от долей и задокументировано; тормозная оценка B2 обнуляется на чётном контроле точно — SymPy-тождество, а не численная удача.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Столь же важен негатив: вне окна модель валидности не имеет, остатки растут как (t−t₁)^4.071. Этот результат предотвращает типичную ошибку — экстраполяцию подгонки за пределы обучающего окна. Фальсификатор шага: появление устойчивого четвёртого канала с долей выше 0.01 % или степень остатков за пределами [3.5, 4.7]. Артефакты: c10_shares.json, c10_braking.json, c10_out_of_window.json.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5. Шаг 12 ↔ C11: классический якорь</w:t>
      </w:r>
      <w:bookmarkEnd w:id="100004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Двенадцатый шаг требовал классического слоя, устойчивость которого доказуема, а не декларируема. C11 даёт три доказуемых элемента: спектр {0, 0, ±iω, ±iω} с символьным полиномом (T11, exact), ограниченность по Арефу с точной границей 2√I и измеренным r_max = 2.7654 ≪ 12 (T12), и статический барьер V* = 0.9359375 с максимумом точно при s = 1 и нулём убеганий из трёхсот траекторий (T13).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Якорь выполняет в программе роль «классического консерватора»: если даже простейшая классическая динамика уже держит конфигурацию спектрально и барьерно, то квантовые каналы побега остаются только туннельными — и их закрывает C7. Фальсификаторы: Re λ ≠ 0, одно убегание с E &lt; V*, дрейф инварианта больше 1e-12. Артефакты: c11_spectrum.json, c11_rotation.json, c11_aref_run.json, c11_escape_scan.json.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6. Шаг 13 ↔ Evidence Engine</w:t>
      </w:r>
      <w:bookmarkEnd w:id="100005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Тринадцатый шаг — организационный: перевести все результаты в единый реестр фальсифицируемых утверждений. Evidence Engine содержит тридцать утверждений в пяти статусах; каждое снабжено фальсификатором и пятиполевым бюджетом неопределённости (статистическая, систематическая, модельная, численная, внешняя). Гипотезы (HYPO-CONT) хранятся отдельно и никогда не цитируются как результаты; внешние значения (η_B, границы наггетов) имеют только статус comparison.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Реестр — это интерфейс между вычислениями и чтением: документация, монографии, портал и рабочая книга ссылаются на утверждения по стабильным ID. Изменение числа в кампании без изменения реестра ломает тесты — согласованность артефактов машинно проверяема. Артефакты: claims.json, audit_ivp12.json, twins.json, rebuild_hashes.json.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7. Шаг 14 ↔ C12: асимметричный замок</w:t>
      </w:r>
      <w:bookmarkEnd w:id="100006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Четырнадцатый шаг — содержательная вершина программы: доказать, что зазор вечен, а свободные кварки невозможны. C12 закрывает его в три хода. Ход первый (T14, exact): при любой асимметрии η &lt; η_crit = Δ_F,min/2 = 0.0908885 барьер замыкания положителен; худший профиль теряет ровно 2η; космологическое значение η_B = 6.1·10⁻¹⁰ отстоит от порога в 1.49·10⁸ раз. η-карта из 41 точки подтверждает границу численно.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Ход второй (T15, honest-negative): наблюдательный маршрут свободных кварков закрыт — заполнение щелей самотормозится отрицательной обратной связью, ноль насыщенных ям за 10⁶ шагов при η_B; позитивный контроль при η = 0.5 каскадирует, демонстрируя, что механизм не «зашит» в код. Ход третий (comparison): комбинаторная вероятность макронакопления &lt; 10^(−1.2·10³¹), а экспериментальные границы поисков согласуются с предсказанием нуля.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Итог шага: из-за полной асимметрии вещества и антивещества зазор будет всегда, и кварки отдельно существовать не могут — рассеиваясь в квантовом поле и заполняя щели, они порождали бы одиночные крупные накопления, которые не наблюдаются; в классе моделей QHB этот аргумент доказан количественно, с фальсификаторами и без выхода за пределы заявленной области применимости.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8. Шаг 15 и открытые пункты</w:t>
      </w:r>
      <w:bookmarkEnd w:id="100007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Пятнадцатый шаг — релизный: воспроизводимый пакет, аудит, двуязычные зеркала, тесты. Он закрыт конвейером make all: 31 таблица с побайтной пересборкой, IVP-12 12/12, 51 twin-проверка, 154 теста, детерминизм без дрейфа. Релиз сопровождается монографиями, рабочей книгой и этим документом; все артефакты ссылаются на реестр утверждений.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Открытые пункты честно перечислены: континуальный предел остаётся гипотезой (шаг 2 имеет конечнобъёмный статус); форма хвоста детектора не разрешена; неравные циркуляции вихрей и температурная зависимость замка — кандидаты дорожной карты R2–R3; внешнее сравнение с литературой по наггетам требует оформления ссылок (R5). Эти пункты не влияют на закрытые шаги 10–14: их фальсификаторы не пересекаются.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8.1 — Открытые пункты и их фальсификаторы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DDD5C0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Пункт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Тип</w:t>
            </w:r>
          </w:p>
        </w:tc>
        <w:tc>
          <w:tcPr>
            <w:tcW w:type="pct" w:w="4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Что закрыло бы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Континуальный зазор Δ_cont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hypothesis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Сходимость по L за пределом 32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Форма хвоста за E_max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honest-negative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Разрешение детектора (новая модель C4)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Неравные циркуляции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roadmap R2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Расщепление пары ±iω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Температурный замок η(T)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roadmap R3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Активационный спад барьера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Литература по наггетам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roadmap R5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Оформленные ссылки для C12-EXP</w:t>
            </w:r>
          </w:p>
        </w:tc>
      </w:tr>
    </w:tbl>
    <w:p>
      <w:pPr>
        <w:spacing w:after="120" w:before="60" w:line="312"/>
        <w:jc w:val="left"/>
      </w:pPr>
      <w:r>
        <w:rPr>
          <w:rFonts w:ascii="Times New Roman" w:eastAsia="SimSun" w:hAnsi="Times New Roman"/>
          <w:i/>
          <w:iCs/>
          <w:color w:val="68603F"/>
          <w:sz w:val="20"/>
          <w:szCs w:val="20"/>
        </w:rPr>
        <w:t xml:space="preserve">Политика «сначала фальсификатор» распространяется и на дорожную карту: любой новый пункт начинается с формулировки того, что его опровергнет.</w:t>
      </w:r>
    </w:p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88887"/>
        <w:sz w:val="18"/>
        <w:szCs w:val="18"/>
      </w:rPr>
      <w:fldChar w:fldCharType="begin"/>
      <w:instrText xml:space="preserve">PAGE \* ROMAN \* MERGEFORMAT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88888"/>
        <w:sz w:val="18"/>
        <w:szCs w:val="18"/>
      </w:rPr>
      <w:fldChar w:fldCharType="begin"/>
      <w:instrText xml:space="preserve">PAGE \* arabic \* MERGEFORMAT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 w:hAnsi="Times New Roman"/>
      <w:b/>
      <w:bCs/>
      <w:color w:val="3A332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C9–C12 и программа 15 шагов</dc:title>
  <dc:creator>QHB Research</dc:creator>
  <cp:lastModifiedBy>Un-named</cp:lastModifiedBy>
  <cp:revision>1</cp:revision>
  <dcterms:created xsi:type="dcterms:W3CDTF">2026-10-10T03:03:06.982Z</dcterms:created>
  <dcterms:modified xsi:type="dcterms:W3CDTF">2026-10-10T03:03:06.983Z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