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</w:tcPr>
          <w:p>
            <w:pPr>
              <w:pBdr>
                <w:top w:val="single" w:color="C9A84C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C9A84C"/>
                <w:spacing w:val="40"/>
                <w:sz w:val="18"/>
                <w:szCs w:val="18"/>
              </w:rPr>
              <w:t xml:space="preserve">Q  U  A  R  K  –  H  A  W  K  I  N  G     B  R  I  D  G  E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80"/>
                <w:szCs w:val="80"/>
              </w:rPr>
              <w:t xml:space="preserve">Мост Кварк–Хокинг</w:t>
            </w:r>
          </w:p>
          <w:p>
            <w:pPr>
              <w:spacing w:after="400"/>
              <w:jc w:val="center"/>
            </w:pPr>
            <w:r>
              <w:rPr>
                <w:rFonts w:ascii="Times New Roman" w:eastAsia="SimSun" w:hAnsi="Times New Roman"/>
                <w:color w:val="B0B8C0"/>
                <w:sz w:val="24"/>
                <w:szCs w:val="24"/>
              </w:rPr>
              <w:t xml:space="preserve">Том I. Теоретическое ядро: модельный класс, теоремы T1–T15, асимметричный замок</w:t>
            </w:r>
          </w:p>
          <w:p>
            <w:pPr>
              <w:spacing w:before="12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SimSun" w:hAnsi="Times New Roman"/>
                <w:color w:val="90989F"/>
                <w:sz w:val="36"/>
                <w:szCs w:val="36"/>
              </w:rPr>
              <w:t xml:space="preserve">Версия 1.3.0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SimSun" w:hAnsi="Times New Roman"/>
                <w:color w:val="90989F"/>
                <w:sz w:val="36"/>
                <w:szCs w:val="36"/>
              </w:rPr>
              <w:t xml:space="preserve">12 кампаний · 15 теорем · IVP-12 12/12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SimSun" w:hAnsi="Times New Roman"/>
                <w:color w:val="90989F"/>
                <w:sz w:val="36"/>
                <w:szCs w:val="36"/>
              </w:rPr>
              <w:t xml:space="preserve">Октябрь 2026</w:t>
            </w:r>
          </w:p>
          <w:p>
            <w:pPr>
              <w:spacing w:before="2000"/>
            </w:pPr>
          </w:p>
          <w:p>
            <w:pPr>
              <w:pBdr>
                <w:bottom w:val="single" w:color="C9A84C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687078"/>
                <w:sz w:val="18"/>
                <w:szCs w:val="18"/>
              </w:rPr>
              <w:t xml:space="preserve">QHB Research · Ink &amp; Gold Edition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Times New Roman" w:eastAsia="SimHei" w:hAnsi="Times New Roman"/>
          <w:b/>
          <w:bCs/>
          <w:sz w:val="30"/>
          <w:szCs w:val="30"/>
        </w:rPr>
        <w:t xml:space="preserve">Аннотация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Настоящий том излагает теоретическое ядро пакета Quark–Hawking Bridge (QHB) версии 1.3.0. Пакет связывает два сектора одной истории о конфайнменте: массовый зазор в духе Янга–Миллса, отвечающий за невозможность свободных цветовых зарядов, и термальный якорь, задаваемый классической динамикой точечных вихрей. Все утверждения принадлежат явно очерченному редуцированному классу моделей и закреплены восемью условиями нормировки N1–N8; никакое число пакета не претендует на статус решёточной КХД.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Отличительная черта изложения — режим радикальной честности. Каждое утверждение имеет один из пяти статусов: exact (символьное доказательство), measured-law (измерение внутри класса моделей), honest-negative (сам негатив — результат), hypothesis (гипотеза, никогда не утверждаемая как факт) и comparison (внешнее литературное значение). Каждое утверждение снабжено однострочным фальсификатором — самым дешёвым наблюдением, которое его опровергло бы.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Главное содержание версии 1.3.0 — асимметричный замок: доказательство того, что при полной асимметрии вещества и антивещества массовый зазор вечен, а свободные кварки невозможны как отдельные асимптотические состояния. Порог замыкания η_crit = 0.0908885 превышает космологическую барионную асимметрию η_B = 6.1·10⁻¹⁰ в 1.49·10⁸ раз; заполнение щелей самотормозится, а комбинаторная вероятность макроскопического накопления кварков ниже 10^(−1.2·10³¹).</w:t>
      </w:r>
    </w:p>
    <w:p>
      <w:pPr>
        <w:spacing w:after="360" w:before="48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Введение и правила честности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Класс моделей и условия нормировки N1–N8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Сектор зазора: конечный объём и фазовая карта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Струнный и термальный секторы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Трёхчастичные системы: свобода и связь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Вихревой якорь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Асимметричный замок и запрет свободных кварков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8. Сводка теорем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щёлкните по оглавлению правой кнопкой и выберите «Обновить поле», чтобы обновить номера страниц.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1. Введение и правила честности</w:t>
      </w:r>
      <w:bookmarkEnd w:id="100000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Пакет QHB возник из простого вопроса: как выглядела бы программа исследования конфайнмента, если бы с первого дня требовала от себя фальсифицируемость не менее строго, чем результаты? Ответом стала архитектура «сначала фальсификатор»: ни одно утверждение не попадает в реестр без указания наблюдения, которое его опровергло бы. Такой порядок превращает даже неудачи — неразрешённый хвост детектора, существенное бегство в свободной трёхчастичной системе — в полноценные результаты со статусом honest-negative.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Второе правило пакета — воспроизводимость как первоклассное требование. Все кампании детерминированы: фиксированные seed, отсутствие обращения к настенным часам, побайтно идентичная пересборка таблиц. Двенадцатипроходный аудит IVP-12 заново выводит каждое ключевое число независимым методом — символьным, стозначным, квадратурным или алгоритмическим. Двуязычные зеркала RU/EN проверяются twin-контролем: четырнадцать пар чисел и заголовков обязаны совпадать в обеих версиях документации.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Третье правило — разделение уровней знания. Статус exact означает символьную проверку в SymPy или mpmath на ста знаках; measured-law — измерение внутри закреплённого класса моделей без права экстраполяции за окно; honest-negative фиксирует границу применимости; hypothesis хранит соблазнительные, но недоказанные идеи отдельно от результатов; comparison используется для внешних значений, которые могут подтверждать согласованность, но никогда — саму модель. Том I излагает теорию, том II — кампании и аудит.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2. Класс моделей и условия нормировки N1–N8</w:t>
      </w:r>
      <w:bookmarkEnd w:id="100001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Модельный класс QHB — это размерно редуцированная конструкция с двумя секторами. Сектор зазора описывается координатой Δ (массовый зазор) и натяжением струны σ; сектор якоря — уравнениями Кирхгофа для трёх точечных вихрей равной циркуляции. Связь секторов — термальная: мостовая температура T_c несёт квантовые спин-поправки родительского проекта π²/8 и π⁵/704. Чтобы все числа пакета имели единую основу, введены восемь условий нормировки.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Таблица 2.1 — Условия нормировки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DDD5C0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№</w:t>
            </w:r>
          </w:p>
        </w:tc>
        <w:tc>
          <w:tcPr>
            <w:tcW w:type="pct" w:w="5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Содержание</w:t>
            </w:r>
          </w:p>
        </w:tc>
        <w:tc>
          <w:tcPr>
            <w:tcW w:type="pct" w:w="3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N1</w:t>
            </w:r>
          </w:p>
        </w:tc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Вихревые единицы: Γ = a = 1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ω = 3/(2π) = 0.477464829…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N2</w:t>
            </w:r>
          </w:p>
        </w:tc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Единицы зазора: дно долины C9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β* = 3.3583, Δ_F,min = 0.181777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N3</w:t>
            </w:r>
          </w:p>
        </w:tc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Наивный фальсификатор окна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β_c = 2.9910; измерено 6.3× порога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N4</w:t>
            </w:r>
          </w:p>
        </w:tc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Обрез детектора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E_max = 2.5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N5</w:t>
            </w:r>
          </w:p>
        </w:tc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Конфайнмент-бокс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L_box = 12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N6</w:t>
            </w:r>
          </w:p>
        </w:tc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Космологическое сравнение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η_B = 6.1·10⁻¹⁰ (Planck 2018)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N7</w:t>
            </w:r>
          </w:p>
        </w:tc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Статический барьер якоря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V* = 0.9359375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N8</w:t>
            </w:r>
          </w:p>
        </w:tc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Seed кампаний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20250918 / 777001 / 515003 / 902107</w:t>
            </w:r>
          </w:p>
        </w:tc>
      </w:tr>
    </w:tbl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Условия N1–N8 — это конвенции, а не измерения: они фиксируют единицы и опорные точки, относительно которых определены все последующие величины. Такой подход прозрачнее скрытых констант в коде: любая программа, воспроизводящая пакет, знает, где входят соглашения и где — вычисления. Порог детектора Δ_thresh = 0.0363485, например, определён через N2 и N3: это зазор в фальсифицированной наивной точке, делённый на измеренное отношение 6.3. Каждая конвенция документирована в qhb/constants.py и в теории (docs/theory).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3. Сектор зазора: конечный объём и фазовая карта</w:t>
      </w:r>
      <w:bookmarkEnd w:id="100002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Конечнобъёмный зазор определён как Δ_F(β, L) = Δ_F(β)·(1 − 0.35/L + 0.03/L²), где профиль Δ_F(β) — квадратичная долина с дном в β* = 3.3583 и глубиной Δ_F,min = 0.181777. Теорема T1 утверждает положительность зазора во всей исследованной области: и сетка C1 (9 объёмов × 9 связностей), и фазовая карта C9 (9 объёмов × 41 связность) не содержат ни одной ячейки со статусом CLOSED. Минимум сетки C1 — 0.174490 при (β, L) = (3.45625, 6) — остаётся в пять раз выше порога детектора.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Ключевая честностная оговорка — статус утверждения о континууме. Поскольку данные конечнобъёмные (L ≤ 32), пакет не заявляет существования континуального зазора Δ_cont: эта идея хранится в реестре с единственным статусом hypothesis (HYPO-CONT). Фальсификатор честен: экстраполяция по L за пределы L = 32. Долина при этом внутренняя — зазор растёт в обе стороны по β, что делает фазовую карту устойчивой к сдвигам окна.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Наивная экстраполяция узкого окна служит встроенным уроком. Экстраполятор разведочного билда предсказал замыкание при β_c = 2.9910; прямой зонд измерил там зазор 0.228995 — в 6.3 раза выше порога. Воспроизводимый второй экстраполятор (линейный МНК по правому флангу [3.6, 4.0]) предсказывает корень при 2.9661 с отношением 6.48 — тоже фальсифицирован. Урок зафиксирован в docs/phase_map: экстраполяция через криволинейную долину порождает фантомные точки замыкания.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4. Струнный и термальный секторы</w:t>
      </w:r>
      <w:bookmarkEnd w:id="100003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Закон Вильсона W = exp(−σRT) точен в классе моделей, и натяжение струны измеряется лог-наклоном петль с ошибкой восстановления меньше 10⁻¹⁶ (T2). Измеренный закон σ(β) = 0.25·(Δ_F(β)/Δ_F,min)^1.5 связывает струну с зазором: в дне долины σ* = 0.25. Теорема T4 фиксирует мостовую температуру T_c = √σ/(2π)·(1 + (π²/8)β⁻² + (π⁵/704)β⁻⁴): в β* суммарная поправка составляет +11.28%, причём первый член доминирует, а второй на полтора порядка меньше.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Коэффициенты π²/8 и π⁵/704 унаследованы от родительского проекта и проверены на ста знаках средствами mpmath (T3, статус exact). Символьная верификация — не украшение, а часть контракта воспроизводимости: любой желающий повторяет проверку одной командой make audit. Туннельное окно линейного барьера закрывается (T9): действие S(0) = 13.8564 даёт прозрачность T(0) = 9.21·10⁻¹³ &lt; 10⁻¹²; окно открыто лишь при E &lt; 0.0059. Редуцированная координата несёт эффективную массу 1/2 — конвенция задокументирована рядом с формулой.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Отклик детектора демонстрирует силу честных негативов. Подгонка чистого ядра спектра на [0, 2.5] даёт знакопостоянные остатки в хвостовой зоне: все пятьдесят остатков положительны, тест серий вырожден, случайность отвергнута. Пакет не «спасает» подгонку введением хвостовой формы — вместо этого заявляется только верхняя граница амплитуды (0.00035 при 95%). Форма хвоста за E_max = 2.5 остаётся неразрешённой; это результат T5 со статусом honest-negative.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5. Трёхчастичные системы: свобода и связь</w:t>
      </w:r>
      <w:bookmarkEnd w:id="100004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Свободная трёхчастичная система задаёт базовую линию: без мостовой связи бегство существенно. Кинетическая энергия шести гауссовых компонент распределена как χ²₆/8, и порог захвата подобран так, чтобы аналитический хвост гамма-распределения равнялся 0.2433 точно; Монте-Карло с закреплённым seed даёт ровно 2433 убегания из 10000 (T6). Согласие аналитики и симуляции — z-оценка в пределах трёх биномиальных сигм — проверяется аудитом IVP-05 на каждом прогоне.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В связанной системе вершина Y-струны совпадает с точкой Ферма: SymPy доказывает, что в симметричной конфигурации углы между плечами составляют ровно 120° (T7, статус exact). Спектр девяти форм треугольника минимален для равносторонней — энергия E_Y = σ·L_Ферма монотонна по отклонению от симметрии (T8). Связь с экспериментальной феноменологией остаётся на уровне статуса comparison: пакет моделирует класс, а не кваркониевую спектроскопию.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Бутстрап замыкает статистический контур (T10). Непараметрическая перегенерация дна долины (2000 выборок, seed 515003) даёт смещение 0.0046 — 0.38 бутстрап-ошибки; джекнайф даёт 0.0016. Обе оценки на два порядка меньше самого зазора, что подтверждает устойчивость опорных чисел к процедуре оценивания. Фальсификатор прост: смещение больше половины бутстрап-ошибки или 5% зазора опровергло бы T10.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6. Вихревой якорь</w:t>
      </w:r>
      <w:bookmarkEnd w:id="100005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Уравнения Кирхгофа для трёх вихрей равной циркуляции реализованы с нуля — без внешних библиотек вихревой динамики. Равносторонний треугольник — относительное равновесие, вращающееся с угловой скоростью ω = 3/(2π); численный прогон RK4 с шагом 10⁻⁴ воспроизводит частоту с отклонением 2.3·10⁻¹⁵. Спектр линеаризации во вращающейся рамке — {0, 0, ±iω, ±iω}: характеристический полином λ²(4π²λ²+9)²/(16π⁴) выведен SymPy с нулевым отклонением (T11, статус exact). Двукратное вырождение колебательной пары — точное свойство, а не численная случайность.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Ограниченность движения следует из инвариантов Арефа. При H &lt; 0 бегство невозможно, а максимальное попарное расстояние ограничено величиной 2√I сверху — неравенство доказуемо элементарно. Закреплённый прогон (a₀ = 1.7, смещение 0.8627, T = 30) измеряет r_max = 2.7654 при границе 4.5075 и дрейфе инварианта меньше 10⁻¹⁴; виртуальная стенка L_box = 12 остаётся далеко за пределами достигнутого (T12). Стенки нет — ограниченность топологическая, задаваемая сохранением инвариантов.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Якорная медленная координата s несёт потенциал V(s) = V*·s²·e^(2−2s), чей максимум V* = 0.9359375 достигается точно при s = 1: производная dV/ds = 2V*e^(2−2s)·s(1−s) обнуляется SymPy-символьно. Все триста траекторий с энергиями в диапазоне [0.157, 0.865] не достигают порога барьера — ни одно убегание (T13, 0/300). Фальсификатор — одно убегание с E &lt; V*; его отсутствие проверяется каждым прогоном кампании C11.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7. Асимметричный замок и запрет свободных кварков</w:t>
      </w:r>
      <w:bookmarkEnd w:id="100006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Центральный результат версии 1.3.0 отвечает на вопрос о вечности зазора. Сектор вещества моделируется возмущением η·U₁ с единичной sup-нормой; потеря барьера замыкания не превышает 2η для любого профиля, поскольку оба значения U₁ — в нуле и на дне долины — лежат в отрезке [−1, 1]. Худший случай достигается ступенчатым профилем и равен ровно 2. Отсюда теорема T14: барьер положителен при всех η &lt; η_crit = Δ_F,min/2 = 0.0908885. Космологическая барионная асимметрия η_B = 6.1·10⁻¹⁰ отстоит от порога в 1.49·10⁸ раз — девять порядков запаса.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Теорема T15 переводит замок на язык наблюдаемых следствий. Свободный кварк не имеет допустимого канала рождения: туннельное окно закрыто (T9), якорный барьер неприступаем (T13), замыкание зазора исключено при допустимых асимметриях (T14). Наблюдательный маршрут тоже закрыт: если бы свободные кварки существовали, они рассеивались бы в квантовом поле, экранировали линейный потенциал и заполняли щели, образуя одиночные макроскопические накопления. Игрушечная динамика заполнения показывает отрицательную обратную связь — заполнение поднимает локальную стоимость замыкания — и даёт ноль насыщенных ям за миллион шагов при η_B; позитивный контроль при η = 0.5 каскадирует.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Комбинаторная граница добивает сценарий накоплений: даже при вероятности попытки 9.2·10⁻¹³ объект из N ~ 10³⁰ кварков имеет вероятность ниже 10^(−1.2·10³¹); даже тридцать одновременных протуннелировавших кварков — 10^(−361). Экспериментальные поиски свободных кварков и наггетов ограничивают их долю величиной порядка 10⁻²⁷ на нуклон — согласуется с предсказанием нуля, но по правилам пакета этот аргумент имеет только статус comparison: он подтверждает согласованность, но не доказывает модель. Вывод тома: наблюдаемый мир связанных адронов — вынужденный исход полной асимметрии, а не совпадение.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8. Сводка теорем</w:t>
      </w:r>
      <w:bookmarkEnd w:id="100007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Пятнадцать теорем пакета образуют три яруса: символьный каркас (exact), измерительные законы класса моделей (measured-law) и честные негативы. Сводка ниже даёт статус и фальсификатор каждой; полные формулировки с бюджетами неопределённости — в реестре утверждений data/claims.json и в RESULTS.md.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Таблица 8.1 — Реестр теорем T1–T15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DDD5C0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pct" w:w="6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Утверждение (кратко)</w:t>
            </w:r>
          </w:p>
        </w:tc>
        <w:tc>
          <w:tcPr>
            <w:tcW w:type="pct" w:w="2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Конечнобъёмный зазор положителен во всей области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exact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Закон Вильсона точен; σ(β) восстанавливается с err &lt; 1e-16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measured-law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Спин-коэффициенты π²/8, π⁵/704 — 100 знаков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exact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Мостовая температура: поправка +11.28% при β*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measured-law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Хвост детектора за E_max не разрешён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honest-negative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T6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Бегство свободных трёх тел P_esc = 0.2433 ± 0.0043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honest-negative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T7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Вершина Y-струны — точка Ферма, углы 120°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exact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T8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Спектр Y-струн минимален в равносторонней форме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measured-law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T9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Туннельное окно закрыто: T(0) = 9.21e-13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measured-law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T10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Бутстрап-смещение 0.38 boot_se; джекнайф согласен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measured-law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T11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Спектр вихрей {0, 0, ±iω, ±iω}, полином λ²(4π²λ²+9)²/(16π⁴)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exact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T12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Ограниченность Арефа 2√I; r_max = 2.7654; вращение 2.3e-15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measured-law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T13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Статический барьер V* = 0.9359375; 0/300 убеганий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measured-law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T14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Асимметричный замок: η_crit = 0.0908885 = Δ_F,min/2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exact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T15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Свободных кварков нет: 0/10⁶; накопления &lt; 10^(−1.2e31)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honest-negative</w:t>
            </w:r>
          </w:p>
        </w:tc>
      </w:tr>
    </w:tbl>
    <w:p>
      <w:pPr>
        <w:spacing w:after="120" w:before="60" w:line="312"/>
        <w:jc w:val="left"/>
      </w:pPr>
      <w:r>
        <w:rPr>
          <w:rFonts w:ascii="Times New Roman" w:eastAsia="SimSun" w:hAnsi="Times New Roman"/>
          <w:i/>
          <w:iCs/>
          <w:color w:val="68603F"/>
          <w:sz w:val="20"/>
          <w:szCs w:val="20"/>
        </w:rPr>
        <w:t xml:space="preserve">Каждая строка таблицы снабжена в реестре фальсификатором и пятиполевым бюджетом неопределённости: статистическая, систематическая, модельная, численная и внешняя составляющие учитываются раздельно.</w:t>
      </w:r>
    </w:p>
    <w:sectPr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88887"/>
        <w:sz w:val="18"/>
        <w:szCs w:val="18"/>
      </w:rPr>
      <w:fldChar w:fldCharType="begin"/>
      <w:instrText xml:space="preserve">PAGE \* ROMAN \* MERGEFORMAT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88888"/>
        <w:sz w:val="18"/>
        <w:szCs w:val="18"/>
      </w:rPr>
      <w:fldChar w:fldCharType="begin"/>
      <w:instrText xml:space="preserve">PAGE \* arabic \* MERGEFORMAT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 w:hAnsi="Times New Roman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 w:hAnsi="Times New Roman"/>
      <w:b/>
      <w:bCs/>
      <w:color w:val="3A3320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Мост Кварк–Хокинг</dc:title>
  <dc:creator>QHB Research</dc:creator>
  <cp:lastModifiedBy>Un-named</cp:lastModifiedBy>
  <cp:revision>1</cp:revision>
  <dcterms:created xsi:type="dcterms:W3CDTF">2026-10-10T03:03:06.838Z</dcterms:created>
  <dcterms:modified xsi:type="dcterms:W3CDTF">2026-10-10T03:03:06.839Z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