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C9A84C"/>
                <w:spacing w:val="40"/>
                <w:sz w:val="18"/>
                <w:szCs w:val="18"/>
              </w:rPr>
              <w:t xml:space="preserve">Q  U  A  R  K  –  H  A  W  K  I  N  G     B  R  I  D  G  E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80"/>
                <w:szCs w:val="80"/>
              </w:rPr>
              <w:t xml:space="preserve">Мост Кварк–Хокинг</w:t>
            </w:r>
          </w:p>
          <w:p>
            <w:pPr>
              <w:spacing w:after="400"/>
              <w:jc w:val="center"/>
            </w:pPr>
            <w:r>
              <w:rPr>
                <w:rFonts w:ascii="Times New Roman" w:eastAsia="SimSun" w:hAnsi="Times New Roman"/>
                <w:color w:val="B0B8C0"/>
                <w:sz w:val="24"/>
                <w:szCs w:val="24"/>
              </w:rPr>
              <w:t xml:space="preserve">Том II. Кампании C1–C12: методы, результаты, аудит IVP-12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Версия 1.3.0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30 таблиц данных · 116 фигур · 154 теста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Октябрь 2026</w:t>
            </w:r>
          </w:p>
          <w:p>
            <w:pPr>
              <w:spacing w:before="20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687078"/>
                <w:sz w:val="18"/>
                <w:szCs w:val="18"/>
              </w:rPr>
              <w:t xml:space="preserve">QHB Research · Ink &amp; Gold Edition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Аннотация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Второй том описывает двенадцать кампаний пакета QHB v1.3.0 — от конечнобъёмного зазора (C1) до асимметричного замка (C12) — и двенадцатипроходный независимый аудит IVP-12. Для каждой кампании фиксируются метод, ключевые числа, статус утверждений и фальсификатор; все таблицы данных воспроизводятся побайтно командой make all.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Архитектурный принцип тома: кампания — это не «эксперимент», а детерминированное измерение внутри закреплённого класса моделей. Seeds зафиксированы в qhb/pins.py; каждая таблица данных сопровождается SHA-256 в data/rebuild_hashes.json; недетерминизм отсутствует как результат (DETERM, honest-negative).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Особое внимание уделено новым кампаниям v1.3.0: C12 реализует асимметричный замок — η-фазовую карту с границей ровно при η_crit = 0.0908885, динамику заполнения щелей с отрицательной обратной связью и комбинаторную границу макроскопических накоплений. Вместе с аудитом и Evidence Engine на 30 утверждений это образует полный контур доказательства запрета свободных кварков.</w:t>
      </w: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Архитектура воспроизводимости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Кампании C1–C4: зазор, струна, температура, детектор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Кампании C5–C8: три тела, Y-струны, туннель, бутстрап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C9: фазовая карта и фальсификация наивного окна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C10: конкурирующие каузальные модели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C11: вихревой якорь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C12: асимметричный замок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Аудит IVP-12 и глубокие проверки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Evidence Engine: 30 утверждений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щёлкните по оглавлению правой кнопкой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1. Архитектура воспроизводимости</w:t>
      </w:r>
      <w:bookmarkEnd w:id="100000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Конвейер пакета — линейная цепочка детерминированных шагов: кампании пишут JSON-таблицы в data/, скрипт фигур строит 116 PNG (16 архетипов × RU/EN × свет/тьма плюс 600-dpi hires), аудит IVP пересчитывает ключевые числа независимыми методами, twin-контроль сверяет двуязычные зеркала, pytest закрепляет числа в 154 тестах, а инструменты/rebuild_data перезапускает всё и сравнивает SHA-256 каждой таблицы.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Единица воспроизводимости — не «примерно то же число», а побайтное совпадение. Фиксированные seeds (N8) входят во все случайные процедуры: Монте-Карло C5, бутстрап C8, сканирование убеганий C11, динамика заполнения C12. Числа с плавающей точкой вычисляются в фиксированном порядке операций; sympy и mpmath дают платформо-независимые результаты в пределах заявленной точности.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1.1 — Состав пакета v1.3.0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Артефакт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Количество</w:t>
            </w:r>
          </w:p>
        </w:tc>
        <w:tc>
          <w:tcPr>
            <w:tcW w:type="pct" w:w="4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JSON-таблицы данных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data/*.json + SHA-256 реестр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Фигуры стандартные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 архетипов × 4 варианта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Фигуры hires 600 dpi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 архетипов × 4 варианта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Тесты pytest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154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все закреплённые числа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Проходы аудита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IVP-12, все PASS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Утверждения Evidence Engine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статусов</w:t>
            </w:r>
          </w:p>
        </w:tc>
      </w:tr>
    </w:tbl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2. Кампании C1–C4: зазор, струна, температура, детектор</w:t>
      </w:r>
      <w:bookmarkEnd w:id="100001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 (gap_finite_volume) сканирует сетку 9×9 по объёмам 6..32 и связностям 2.80..4.56. Все 81 ячеек OPEN; минимум 0.174490 при (3.45625, 6). Аудит IVP-01 пересчитывает сетку встроенной арифметикой, минуя вызовы qhb.core, и подтверждает совпадение с отклонением меньше 1e-12.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C2 (string_tension) измеряет натяжение по точному закону Вильсона: шесть петель, лог-наклон, максимум отклонения от закона 5.6e-17. Аудит IVP-02 проверяет тождество производной: −∂lnW/∂(RT) = σ с точностью 1e-9. C3 (bridge_thermal) сканирует T_c по сетке и верифицирует спин-коэффициенты на ста знаках (IVP-03); суммарная поправка при β* — +11.28%.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C4 (detector_response) строит отклик детектора свёрткой с гауссовым разрешением и подгоняет чистое ядро на [0, 2.5]. В хвостовой зоне (2.5, 3.5] все пятьдесят остатков положительны — тест серий вырожден. Аудит IVP-04 проверяет консистентность верхней границы; результат T5: форма хвоста не разрешена, заявлена только амплитуда ≤ 0.00035.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3. Кампании C5–C8: три тела, Y-струны, туннель, бутстрап</w:t>
      </w:r>
      <w:bookmarkEnd w:id="100002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C5 (free_three_body) сочетает аналитику и Монте-Карло: порог захвата 0.991211 решает уравнение гамма-хвоста точно, seed 777040 даёт ровно 2433/10000 убеганий. Аудит IVP-05 контролирует z-оценку в пределах трёх сигм на каждом прогоне; дополнительная батарея deep_checks прогоняет двадцать независимых seeds.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C6 (confined_spectrum) вычисляет Y-струнный спектр через точку Ферма (алгоритм Вайсфельда, 200 итераций): равносторонняя форма минимизирует энергию. Аудит IVP-06 доказывает условие 120° символьно — скалярные произведения единичных направлений равны −1/2 точно. C7 (tunneling_window) фиксирует закрытое ВКБ-окно: S(0) = 13.8564, T(0) = 9.21e-13; квадратура mpmath подтверждает замкнутую форму с отклонением 3.5e-16 в fp64 и меньше 1e-35 на высоких знаках (IVP-07).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C8 (bootstrap) закрепляет статистику дна долины: 2000 ресемплов дают смещение 0.0046 и ошибку 0.0124; джекнайф 0.0016 согласен по знаку и порядку (IVP-08). Девятипроцентный интервал [0.1695, 0.1955] накрывает истинное дно — устойчивость опорной точки подтверждена.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4. C9: фазовая карта и фальсификация наивного окна</w:t>
      </w:r>
      <w:bookmarkEnd w:id="100003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C9 (phase_map) — центральная карта зазора: 9 объёмов × 41 связность = 369 ячеек, все OPEN. Долина уточняется параболически по трём сеточным точкам вокруг аргминимума: β* = 3.3583 и Δ_F,min = 0.181777 восстанавливаются точно, поскольку профиль квадратичен. Аудит IVP-09 сравнивает параболическое уточнение с золотой секцией: сходимость золотой секции упирается в fp64-пол связок на плоской параболе (~1e-8), поэтому честный порог прохождения — 1e-6; парабола даёт 8.4e-15.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Фальсификация наивного окна оформлена как самостоятельный результат C9-FALS: прямое измерение в предсказанной точке замыкания β_c = 2.9910 даёт 6.3 порога. Джекнайф-стресс в deep_checks удаляет любые три точки вокруг долины и восстанавливает β* с точностью лучше 1e-9 — уточнение не зависит от окрестности дна.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5. C10: конкурирующие каузальные модели</w:t>
      </w:r>
      <w:bookmarkEnd w:id="100004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C10 (competing_models) раскладывает мостовой сигнал на три каузальных канала: A — симметричный гауссов шириной 3 (распространяющийся), B — антисимметричный тормозной (нечётный относительно t = 5), C — пара узких контактных отголосков. NNLS-подгонка на сетке 1001 точки восстанавливает доли 91.9509 / 8.0001 / 0.049 % с аддитивным смещением 1.3e-4, документированным через масштаб неортогональности 1.00014.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Чисто тормозная оценка B2 — интеграл нечётной части сигнала против f_B — обнуляется на чётном контроле с остатком 8.8e-18: SymPy-тождество чётности гарантирует точное аннигилирование (C10-B2, exact; IVP-10 сверяет NNLS с системой нормальных уравнений). Вне окна модель невалидна по построению: остатки растут как (t−t₁)^4.071 — крыло четвёртого порядка. Это честный негатив C10-NEG: никакие внеоконные утверждения не делаются.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6. C11: вихревой якорь</w:t>
      </w:r>
      <w:bookmarkEnd w:id="100005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C11 (vortex_anchor) — классический слой пакета. Уравнения Кирхгофа реализованы с нуля; интегратор RK4 с шагом 1e-4 воспроизводит жёсткое вращение ω = 3/(2π) с отклонением 2.3e-15 и дрейфом радиуса 3.3e-16. Спектр линеаризации {0, 0, ±iω, ±iω} получен SymPy из точного якобиана; характеристический полином λ²(4π²λ²+9)²/(16π⁴) совпадает с ожидаемым тождественно (IVP-11).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Прогон Арефа: смещённый треугольник (a₀ = 1.7, δ = 0.8627) с H = −0.374 &lt; 0 живёт 30 временных единиц; r_max = 2.7654 против точной границы 2√I = 4.5075 и виртуальной стенки 12. Дрейф инварианта I за прогон — 1.8e-15. Якорный барьер: V(s) = V*·s²·e^(2−2s) с максимумом точно при s = 1; 300 траекторий с энергиями 0.157..0.865 — ноль убеганий.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7. C12: асимметричный замок</w:t>
      </w:r>
      <w:bookmarkEnd w:id="100006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C12 (asymmetry_lock) реализует главный новый результат. Девять профилей возмущений с единичной sup-нормой на [0, x*] дают потерю барьера от −2 (пильный контроль, укрепляющий барьер) до ровно +2 (ступенчатый профиль): худший случай достигается и доказуем (IVP-12, SymPy-неравенство). η-фазовая карта из 41 лог-точки открыта при всех η &lt; 0.0908885 и закрыта за ней — граница проходит точно через η_crit = Δ_F,min/2.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Динамика заполнения щелей — игрушечная модель наблюдательного маршрута T15. Двести ям, миллион шагов, вероятность инжекции η·1000: при η_B суммарно один удар за прогон и ноль насыщенных ям (максимальное заполнение 0.001); позитивный контроль при η = 0.5 инжектирует на каждом шаге и насыщает все ямы каскадом. Отрицательная обратная связь встроена: заполнение поднимает локальную стоимость замыкания, поэтому заполнение самотормозится задолго до насыщения.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Комбинаторная граница завершает доказательство: при вероятности попытки T(0) = 9.21e-13 логарифм вероятности макроскопического накопления из 10³⁰ кварков равен −1.2·10³¹. Экспериментальная граница поисков наггетов (~1e-27 на нуклон) учитывается со статусом comparison: она согласуется с предсказанием нуля, но не доказывает модель. Путь к фальсификации открыт и записан: одна ячейка CLOSED при η ≤ η_B, разрешённый канал с T &gt; 1e-12 или обнаружение наггета опровергли бы замок.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8. Аудит IVP-12 и глубокие проверки</w:t>
      </w:r>
      <w:bookmarkEnd w:id="100007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Аудит IVP-12 — двенадцать независимых верификаций: повторный счёт сетки C1 встроенной арифметикой; тождество производной Вильсона; стозначные спин-константы; консистентность верхней границы хвоста; z-оценка C5; символьные 120° Ферма; ВКБ-квадратура на 60 знаках; согласие бутстрапа и джекнайфа; золотая секция против параболы; нормальные уравнения против NNLS; символьный полином вихрей и нулевой остаток равновесия; символьное худшее неравенство замка и арифметика запаса на 50 знаках. Итог: 12/12 PASS.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Глубокие проверки дополняют аудит: стозначная перекомпиляция ω, π²/8, π⁵/704, η_crit и запаса; джекнайф-стресс C9; двадцать seed-ов C5 с контролем z-оценки; символьное положение максимума барьера; символьные тождества чётности C10; побайтный детерминизм (31 таблица, нулевой дрейф); twin-контроль 14 пар × 3 прохода = 51 проверка. Всё вместе образует контур, в котором каждое число пакета имеет независимый второй вывод.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8.1 — Ключевые числа v1.3.0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Величина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Где закреплено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β* / Δ_F,min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3.3583 / 0.181777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N2, C9-VALLEY, тесты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Порог детектора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0.0363485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N3, C1, тесты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P_esc (свободные 3 тела)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0.2433 ± 0.0043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C5, seed 777040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ω (вихри)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3/(2π) = 0.477464829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N1, T11, IVP-11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V* (барьер)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0.9359375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N7, C11, 0/300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η_crit / запас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0.0908885 / 1.49e8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T14, IVP-12, 50 знаков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Доли A/B/C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91.95 / 8.00 / 0.049 %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C10-SHARES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Внеоконная степень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4.071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C10-NEG</w:t>
            </w:r>
          </w:p>
        </w:tc>
      </w:tr>
    </w:tbl>
    <w:p>
      <w:pPr>
        <w:pStyle w:val="Heading1"/>
        <w:spacing w:after="160" w:before="360" w:line="312"/>
      </w:pPr>
      <w:bookmarkStart w:id="100008" w:name="_Toc100008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9. Evidence Engine: 30 утверждений</w:t>
      </w:r>
      <w:bookmarkEnd w:id="100008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Реестр утверждений — административное ядро честности. Тридцать утверждений в пяти статусах (exact ×7, measured-law ×12, honest-negative ×9, hypothesis ×1, comparison ×1) покрывают все теоремы, все кампании, аудит и воспроизводимость. Каждое утверждение несёт двуязычную формулировку, фальсификатор, пятиполевый бюджет неопределённости и указатели на таблицы данных.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Правила реестра строже, чем интуиция подсказывает: гипотеза никогда не цитируется как результат; внешние значения не доказывают модель; негатив — полноценный результат; утверждение без фальсификатора не допускается. Такой реестр превращает пакет из набора вычислений в проверяемую систему знаний: любой читатель видит не только «что заявлено», но и «что опровергло бы» и «где это записано».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7"/>
        <w:sz w:val="18"/>
        <w:szCs w:val="18"/>
      </w:rPr>
      <w:fldChar w:fldCharType="begin"/>
      <w:instrText xml:space="preserve">PAGE \* ROMAN \* MERGEFORMAT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8"/>
        <w:sz w:val="18"/>
        <w:szCs w:val="18"/>
      </w:rPr>
      <w:fldChar w:fldCharType="begin"/>
      <w:instrText xml:space="preserve">PAGE \* arabic \* MERGEFORMAT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 w:hAnsi="Times New Roman"/>
      <w:b/>
      <w:bCs/>
      <w:color w:val="3A332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Мост Кварк–Хокинг</dc:title>
  <dc:creator>QHB Research</dc:creator>
  <cp:lastModifiedBy>Un-named</cp:lastModifiedBy>
  <cp:revision>1</cp:revision>
  <dcterms:created xsi:type="dcterms:W3CDTF">2026-10-10T03:03:06.921Z</dcterms:created>
  <dcterms:modified xsi:type="dcterms:W3CDTF">2026-10-10T03:03:06.921Z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