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A" w:val="clear"/>
            <w:vAlign w:val="top"/>
          </w:tcPr>
          <w:p>
            <w:pPr>
              <w:pBdr>
                <w:top w:val="single" w:color="C9A84C" w:sz="18" w:space="20"/>
              </w:pBdr>
              <w:spacing w:after="200" w:before="1400"/>
              <w:ind w:left="1000" w:right="1000"/>
            </w:pPr>
          </w:p>
          <w:p>
            <w:pPr>
              <w:spacing w:before="1700"/>
            </w:pPr>
          </w:p>
          <w:p>
            <w:pPr>
              <w:spacing w:after="550"/>
              <w:jc w:val="center"/>
            </w:pPr>
            <w:r>
              <w:rPr>
                <w:rFonts w:ascii="Times New Roman" w:hAnsi="Times New Roman"/>
                <w:color w:val="C9A84C"/>
                <w:spacing w:val="40"/>
                <w:sz w:val="20"/>
                <w:szCs w:val="20"/>
              </w:rPr>
              <w:t xml:space="preserve">Q  U  A  R  K  -  H  A  W  K  I  N  G     B  R  I  D  G  E</w:t>
            </w:r>
          </w:p>
          <w:p>
            <w:pPr>
              <w:spacing w:after="90" w:line="644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56"/>
                <w:szCs w:val="56"/>
              </w:rPr>
              <w:t xml:space="preserve">The Quark-Hawking Bridge.</w:t>
            </w:r>
          </w:p>
          <w:p>
            <w:pPr>
              <w:spacing w:after="320" w:line="644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56"/>
                <w:szCs w:val="56"/>
              </w:rPr>
              <w:t xml:space="preserve">Volume II: The Appendix</w:t>
            </w:r>
          </w:p>
          <w:p>
            <w:pPr>
              <w:spacing w:after="420"/>
              <w:jc w:val="center"/>
            </w:pPr>
            <w:r>
              <w:rPr>
                <w:rFonts w:ascii="Times New Roman" w:hAnsi="Times New Roman"/>
                <w:color w:val="C9C2AE"/>
                <w:sz w:val="26"/>
                <w:szCs w:val="26"/>
              </w:rPr>
              <w:t xml:space="preserve">constants, models, campaigns C1–C11, data, runbook, FAQ</w:t>
            </w:r>
          </w:p>
          <w:p>
            <w:pPr>
              <w:spacing w:before="1100"/>
            </w:pP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Isaev, Ishak Khamzatovich (Nalchik, KBR, RF)</w:t>
            </w: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co-author: wild8highlander (GitHub)</w:t>
            </w: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version 1.2.0 · October 2026</w:t>
            </w:r>
          </w:p>
          <w:p>
            <w:pPr>
              <w:spacing w:before="19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Times New Roman" w:hAnsi="Times New Roman"/>
                <w:color w:val="90896F"/>
                <w:sz w:val="19"/>
                <w:szCs w:val="19"/>
              </w:rPr>
              <w:t xml:space="preserve">QHB v1.2.0 · Isaev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/>
          <w:b/>
          <w:bCs/>
          <w:color w:val="1A1A1A"/>
          <w:sz w:val="30"/>
          <w:szCs w:val="30"/>
        </w:rPr>
        <w:t xml:space="preserve">Contents</w:t>
      </w:r>
    </w:p>
    <w:sdt>
      <w:sdtPr>
        <w:alias w:val="Table of contents. Right-click — &quot;Update Field&quot; refreshes the page numbers."/>
      </w:sdtPr>
      <w:sdtContent>
        <w:p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Part I. The constants registry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Part II. The G-model of the gap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Part III. The trio engine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Part IV. The W-model of the Wu door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Part V. Campaigns C1–C8 (v1.0–v1.1)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Part VI. Campaigns C9–C11 and the Evidence Engine (v1.2.0)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Part VII. The theorems register (T1–T13 summary)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Part VIII. The bridge and the two contact points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Part IX. The data dictionary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Part X. The figure catalogue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Part XI. The multilang matrix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Part XII. The reproduction runbook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Part XIII. The roadmap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Part XIV. FAQ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40"/>
      </w:pPr>
      <w:r>
        <w:rPr>
          <w:rFonts w:ascii="Times New Roman" w:hAnsi="Times New Roman"/>
          <w:i/>
          <w:iCs/>
          <w:color w:val="8A8574"/>
          <w:sz w:val="18"/>
          <w:szCs w:val="18"/>
        </w:rPr>
        <w:t xml:space="preserve">Note: the table of contents is field-based. After edits, refresh the page numbers: right-click the TOC → "Update Field".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300" w:right="1400" w:bottom="1300" w:left="1500" w:header="708" w:footer="708" w:gutter="0"/>
          <w:pgNumType w:start="1" w:fmt="lowerRoman"/>
          <w:docGrid w:linePitch="360"/>
        </w:sectPr>
      </w:pPr>
    </w:p>
    <w:p>
      <w:pPr>
        <w:pStyle w:val="Heading1"/>
        <w:keepNext/>
        <w:spacing w:after="160" w:before="400"/>
      </w:pPr>
      <w:bookmarkStart w:id="100000" w:name="_Toc100000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I. The constants registry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The single source of truth is qhb/constants.py, three parts. Part A: CODATA-2018 and the cosmological/QCD anchors (T_CMB = 2.72548 K, T_QCD = 155.16 MeV in exact conversion, eta = 6.1e-10, the Wu anchor 0.9 marked "approximate"). Part B: the CHB inheritance — the spinor phases and the six correction quanta (exact), the born-ensemble members f~ = 0.2877 / 0.2684 / 1.0 (inherited from CHB campaign C1), the parent package's T10 drift-law data. Part C: the committed verdicts of campaigns C1–C11, regenerated by the run_c*.py scripts. Since v1.2.0 part C also carries the phase-map block (C9), the ablation (C10) and the vortex anchor (C11).</w:t>
      </w:r>
    </w:p>
    <w:p>
      <w:pPr>
        <w:pStyle w:val="Heading1"/>
        <w:keepNext/>
        <w:spacing w:after="160" w:before="400"/>
      </w:pPr>
      <w:bookmarkStart w:id="100001" w:name="_Toc100001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II. The G-model of the gap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Geometry: a Dirichlet chain of N sites with the parabolic well q_n = (kappa/2)x_n² − q_pk and the continuum-consistent hopping J = 1/h². Reduction: the two lowest levels → a two-band system with the splitting Delta_0. Drive: H(t) = (Delta_0/2)sigma_z + v(t)sigma_x + w(t)sigma_z, v — the Berry modulation (transverse), w — the braking one (longitudinal), the tone frequencies (2,3,7)·Omega_0, the septinial phases. Floquet: U(T0) built from M = 1920 piecewise-constant exact 2x2 exponentials; the quasi-energies come from the eigenphases with folding; the gap is the smaller of the two intervals.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The validity boundary of the two-band reduction is Delta_0 ≤ Omega_0/2 = 1; at q_pk &lt; 0.2 the static splitting crosses the band edge and the model honestly leaves its regime — campaign C9 excludes this branch from the map rather than displaying it.</w:t>
      </w:r>
    </w:p>
    <w:p>
      <w:pPr>
        <w:pStyle w:val="Heading1"/>
        <w:keepNext/>
        <w:spacing w:after="160" w:before="400"/>
      </w:pPr>
      <w:bookmarkStart w:id="100002" w:name="_Toc100002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III. The trio engine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engine/solver.py — a vectorised RK4 over an ensemble: three equal masses, softened Newtonian gravity (eps² = 1e-2), step dt = 2e-3, horizon t_end = 12, escape radius R_esc = 12, early freezing of crossers. The wall: U(r,t) = V0(1 + cos Omega t)·max(0, (r − R_b)/w)², R_b = 8, w = 1, p = 2. Ensemble: 300 trials in the band E in [−0.6, −0.05), seed 20261010. The validation anchor is the Kepler ellipse e = 0.5: the period relative error 1.3e-9.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Since v1.2.0 the engine carries the exact static barrier (T13): at Omega = 0 the energy is conserved and every solution obeys the bound r_i ≤ R_b + w·sqrt((E0 + 3/sqrt(eps²))/(2V0)); escape is impossible at V0 &gt; V* = 0.9359375 on the committed band. The oscillating wall does work (median |dE| = 0.146 on the (0.8, 2) cell) — the seal is finite-time, and both marks travel with the numbers.</w:t>
      </w:r>
    </w:p>
    <w:p>
      <w:pPr>
        <w:pStyle w:val="Heading1"/>
        <w:keepNext/>
        <w:spacing w:after="160" w:before="400"/>
      </w:pPr>
      <w:bookmarkStart w:id="100003" w:name="_Toc100003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IV. The W-model of the Wu door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Linear two-rate kinetics: births Gamma_b, annihilations Gamma(1 −/+ alpha), freeze-out at t_f = 1/H. The closed form of the residual r(alpha, x) is theorem T7 of the theorems volume. The stochastic realisation: N_± ~ Poisson with thinned survival, 200,000 realisations per cell, seed 20261010. The C8 pairwise kinetics replaces the linear mean field; the T7 closed form does not extend — an exact structural negative.</w:t>
      </w:r>
    </w:p>
    <w:p>
      <w:pPr>
        <w:pStyle w:val="Heading1"/>
        <w:keepNext/>
        <w:spacing w:after="160" w:before="400"/>
      </w:pPr>
      <w:bookmarkStart w:id="100004" w:name="_Toc100004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V. Campaigns C1–C8 (v1.0–v1.1)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The eight campaigns of the first cycle: C1 — statics and the gap law (T2/T3); C2 — the trap: Gascheau, the 9x4 grid, Lyapunov (T4–T6); C3 — the Wu door (T7); C4 — the spectral floor (T9); C5 — the drift law (T10); C6 — the three-branch physical mapping; C7 — the anharmonic trio with the confining core; C8 — the pairwise door. All verdicts are deterministic, carry project_version 1.1.0 and are re-verified by the C7 regression gate and the audit.</w:t>
      </w:r>
    </w:p>
    <w:p>
      <w:pPr>
        <w:pStyle w:val="Heading1"/>
        <w:keepNext/>
        <w:spacing w:after="160" w:before="400"/>
      </w:pPr>
      <w:bookmarkStart w:id="100005" w:name="_Toc100005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VI. Campaigns C9–C11 and the Evidence Engine (v1.2.0)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C9 — the phase map.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The 9x41 grid (q_pk in {0.2…1.0} under the regime bound Delta_0 ≤ Omega_0/2; beta in [0, 10] step 0.25, M = 1920). Classification against the detector floor 2/N = 0.03125: all 369 cells are OPEN — no closure on the searched range (a finite-range statement, beta_max = 10 is part of the claim). The narrowing valley: beta* = 3.3583, Delta_F,min = 0.181777 at the committed geometry; refinement reproducibility dev 0.0002 &lt; 0.05; N-stability &lt; 0.001. The counterexample: the quadratic closure forecast beta_c = 2.9910 is falsified — the measured 0.1978 sits 6.3x above the floor.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C10 — the competing models.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The factorial ablation: 8 sector-mask configurations; the causal shares of |B2| — A 91.95%, B 8.00%, C 0.049%; additivity — max cross 1.3e-4; the braking-only configuration gives B2 = 0.0 exactly; the b-flip evenness holds with machine zeros on all seven transverse configurations. The out-of-window forecast (fit on [0, 0.1], test on {0.3…0.8}): the error share 0.3% → 2.3%, the residual power 4.07 — the quartic wing quantified as a forecast failure, not as a refutation of T3.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C11 — the vortex anchor and the static barrier.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The own classical layer qhb/vortex.py: the Kirchhoff equations, RK4 dt = 1e-3, four invariants. T11: rigid rotation to 1.5e-14 over three full turns, the linearization spectrum {0, 0, ±i omega, ±i omega} (the exact analytic Jacobian, max|Re| = 2.8e-17), the symbolic polynomial lambda²(lambda² + omega²)² — dev 0 (SymPy, IVP11). T12: the Aref manifold (1, 1, −1) — machine-zero invariants at 50 digits, drift ≤ 1.5e-12, r_max = 2.7654 &lt;&lt; 12 — bounded without any wall. T13: the static barrier, V* = 0.9359375, 0/300 escapes, margins ≥ 2.76.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The Evidence Engine.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results/claims_registry.json — 27 claims in five statuses (exact / measured-law / honest-negative / hypothesis / comparison) with five-field uncertainty budgets and falsification criteria; the qhb.claims validator, a test pin. The prose registry — results/CLAIMS.md.</w:t>
      </w:r>
    </w:p>
    <w:p>
      <w:pPr>
        <w:pStyle w:val="Heading1"/>
        <w:keepNext/>
        <w:spacing w:after="160" w:before="400"/>
      </w:pPr>
      <w:bookmarkStart w:id="100006" w:name="_Toc100006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VII. The theorems register (T1–T13 summary)</w:t>
      </w:r>
      <w:bookmarkEnd w:id="100006"/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6B6455"/>
          <w:sz w:val="21"/>
          <w:szCs w:val="21"/>
        </w:rPr>
        <w:t xml:space="preserve">Table 7.1 — the thirteen theorems of the package</w:t>
      </w:r>
    </w:p>
    <w:tbl>
      <w:tblPr>
        <w:tblW w:type="pct" w:w="100%"/>
        <w:tblBorders>
          <w:top w:val="single" w:color="DDD5C0" w:sz="4"/>
          <w:left w:val="single" w:color="DDD5C0" w:sz="4"/>
          <w:bottom w:val="single" w:color="DDD5C0" w:sz="4"/>
          <w:right w:val="single" w:color="DDD5C0" w:sz="4"/>
          <w:insideH w:val="single" w:color="DDD5C0" w:sz="4"/>
          <w:insideV w:val="single" w:color="DDD5C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No.</w:t>
            </w:r>
          </w:p>
        </w:tc>
        <w:tc>
          <w:tcPr>
            <w:tcW w:type="dxa" w:w="38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theorem</w:t>
            </w:r>
          </w:p>
        </w:tc>
        <w:tc>
          <w:tcPr>
            <w:tcW w:type="dxa" w:w="1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campaign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six correction quanta (exact maps)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exact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C1/validate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T2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selection rules: evenness, invisibility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exact + data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C1, C10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T3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gap law (window [0, 0.2])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measured law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T4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Gascheau criterion: instability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exact (negative)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C2, IVP06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T5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free trio unbinds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honest negative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C2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T6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wall seals; bound chaos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measured law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C2, C7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T7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Wu door: the closed form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exact in the toy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C3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T8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QCD contact: M_QCD = 6.814e10 kg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comparison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C6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T9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spectral floor (2/N)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detector law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C4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T10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gap-drift law (h², channel −0.209)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measured law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C5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T11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stability contrast (vortices vs Newton)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exact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C11, IVP11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T12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invariant wall (the Aref manifold)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measured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C11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T13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the static barrier (V* = 0.9359375)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exact for the engine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C11</w:t>
            </w:r>
          </w:p>
        </w:tc>
      </w:tr>
    </w:tbl>
    <w:p>
      <w:pPr>
        <w:pStyle w:val="Heading1"/>
        <w:keepNext/>
        <w:spacing w:after="160" w:before="400"/>
      </w:pPr>
      <w:bookmarkStart w:id="100007" w:name="_Toc100007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VIII. The bridge and the two contact points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The bridge master table — 15 rows (3 members of the f~ ensemble × 5 input scales: Planck, QCD, asteroid 1e12 kg, CMB, solar) × 23 Schwarzschild-thermodynamics columns. The two contact points: QCD — T_H = 155.16 MeV selects M = 6.814006e10 kg (compared with the literature primordial holes of the QCD epoch ~1e11 kg, ratio 0.68, comparison only); CMB — the inherited contact 4.5016e22 kg. The gap mapping: f_gap = Delta_0·k_B·T/h; at the QCD contact the gap quantum is 81.1 MeV — the same decade as Lambda_QCD (ratio 4.09), a comparison, not a derivation.</w:t>
      </w:r>
    </w:p>
    <w:p>
      <w:pPr>
        <w:pStyle w:val="Heading1"/>
        <w:keepNext/>
        <w:spacing w:after="160" w:before="400"/>
      </w:pPr>
      <w:bookmarkStart w:id="100008" w:name="_Toc100008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IX. The data dictionary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data/qhb/ — 32 derived tables rebuilt byte-for-byte by scripts/rebuild_data.py from the verdicts (a test pin). The main ones: bridge_master.csv, qhb_constants.csv, the scale ladders, gap_scan_window.json, gap_per_sector.json, trap_grid.csv, trap_lyapunov.json, wu_residual_grid.csv, floor_ladder.csv, drift_ladder.csv, mapping_branches.csv, anharmonic_*, pairwise_*, and the new v1.2.0 tables: phase_map.csv (369 cells), phase_valley.csv, phase_counterexample.json, ablation.csv, forecast.csv, ablation_additivity.json, barrier_cells.csv, vortex_anchor.json.</w:t>
      </w:r>
    </w:p>
    <w:p>
      <w:pPr>
        <w:pStyle w:val="Heading1"/>
        <w:keepNext/>
        <w:spacing w:after="160" w:before="400"/>
      </w:pPr>
      <w:bookmarkStart w:id="100009" w:name="_Toc100009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X. The figure catalogue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The 300-dpi figures: 10 architectures × RU/EN × light/dark = 40 files (figures/). The new v1.2.0 ones: fig_phase (the valley, the floor, the counterexample), fig_ablation (the causal map), fig_vortex (the Aref manifold + the static barrier). The 600-dpi hires: 25 architectures × RU/EN × themes = 100 files (figures_hires/), including hq_21–hq_25 (the valley, the causal map, the barrier, the phase-plane heatmap, the ablation zoom). All built through scripts/figstyle.py — ink and gold, constrained_layout.</w:t>
      </w:r>
    </w:p>
    <w:p>
      <w:pPr>
        <w:pStyle w:val="Heading1"/>
        <w:keepNext/>
        <w:spacing w:after="160" w:before="400"/>
      </w:pPr>
      <w:bookmarkStart w:id="100010" w:name="_Toc100010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XI. The multilang matrix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The twins of the closed-form core: JavaScript, C, C++ — 14/14 PASS each (v1.2.0 adds the vortex Lagrange rate 3/(2 pi) to the 13-check block); the reference outputs are committed (multilang/*/reference_output.txt) and pinned by tests. Go, Rust, Julia — source twins with the same block. Nothing is downloaded, nothing is fitted.</w:t>
      </w:r>
    </w:p>
    <w:p>
      <w:pPr>
        <w:pStyle w:val="Heading1"/>
        <w:keepNext/>
        <w:spacing w:after="160" w:before="400"/>
      </w:pPr>
      <w:bookmarkStart w:id="100011" w:name="_Toc100011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XII. The reproduction runbook</w:t>
      </w:r>
      <w:bookmarkEnd w:id="100011"/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pip install -e ".[dev]"        # install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test                       # 94 pins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validate                   # 9/9 mpmath (50 digits)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claims                     # 27 claims, the schema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data                       # 32 tables from the verdicts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figures                    # 40 figures @300dpi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python3 scripts/hires_figures.py  # 100 hires @600dpi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c1 c3 c4 c5 c6 c9 c10 c11  # the fast campaigns (~65 s total)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c2                         # ~3.5 min (the trap)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c7                         # ~5 min (the anharmonic trio)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bash independent_verification/RUN_ALL.sh   # the audit IVP-11: 11/11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All eleven campaigns are deterministic (the single seed 20261010; C6, C8, C9, C10 are fully deterministic closed forms/discretizations): a re-run returns the physics bit-for-bit, only the wall times shift. The heavy campaigns C2/C7 re-run in minutes; the rest take seconds.</w:t>
      </w:r>
    </w:p>
    <w:p>
      <w:pPr>
        <w:pStyle w:val="Heading1"/>
        <w:keepNext/>
        <w:spacing w:after="160" w:before="400"/>
      </w:pPr>
      <w:bookmarkStart w:id="100012" w:name="_Toc100012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XIII. The roadmap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Closed: C6–C8 (v1.1.0), C9–C11 + the Evidence Engine + IVP-11 (v1.2.0). Open: the engine modernisation (adaptive stepping at close encounters — an AMR-style engine would sharpen the escape statistics); the adaptive experiment selection (the C9 valley locus is the natural seed for spending the next CPU-hours where the phase-boundary uncertainty is largest); the interactive delivery (an in-browser solver front-end — the core is already pure functions).</w:t>
      </w:r>
    </w:p>
    <w:p>
      <w:pPr>
        <w:pStyle w:val="Heading1"/>
        <w:keepNext/>
        <w:spacing w:after="160" w:before="400"/>
      </w:pPr>
      <w:bookmarkStart w:id="100013" w:name="_Toc100013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Part XIV. FAQ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Does the package prove the Yang-Mills hypothesis?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No. Every theorem is a machine fact about a committed toy model; the mapping to physical scales is a marked hypothesis and comparisons. The package honestly approaches the problem from the toy side: the gap never closes on the whole searched map (C9), the drive mechanism is causally decomposed (C10), the trap received its exact stratification (T13) and the classical contrast (T11).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Why the vortex layer?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The classical three-vortex problem (Kirchhoff 1876) is the oldest reduction of fluid dynamics to a few-body system, with four analytic invariants and an EXACT contrast to the Newtonian Gascheau instability: the same triangle, a different interaction structure — a different stability. This is the strongest analytic argument of the package in favour of the H4 link: the trap is a property of the interaction, not of "three-ness". The implementation follows the classical equations with the package's own code paths, with the symbolic proof of the characteristic polynomial.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What does "machine-readable or it did not happen" mean?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Every numerical claim traces to a committed JSON/CSV verdict with an address; console output is not an artifact. The claims registry binds every load-bearing statement to its status, uncertainty budget and falsification criterion; quoting obliges carrying the status mark.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How to reproduce?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The runbook of part XII: install, test, validate, campaigns, audit — everything in one command on a clean environment, without hand-prepared intermediate tables.</w:t>
      </w:r>
    </w:p>
    <w:sectPr>
      <w:headerReference w:type="default" r:id="rId9"/>
      <w:footerReference w:type="default" r:id="rId10"/>
      <w:type w:val="nextPage"/>
      <w:pgSz w:w="11906" w:h="16838" w:orient="portrait"/>
      <w:pgMar w:top="1300" w:right="1400" w:bottom="1300" w:left="15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6B64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6B64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6" w:space="4"/>
      </w:pBdr>
      <w:jc w:val="center"/>
    </w:pPr>
    <w:r>
      <w:rPr>
        <w:rFonts w:ascii="Times New Roman" w:hAnsi="Times New Roman"/>
        <w:color w:val="6B6455"/>
        <w:sz w:val="18"/>
        <w:szCs w:val="18"/>
      </w:rPr>
      <w:t xml:space="preserve">The Quark-Hawking Bridge. Volume II: The Appendix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6" w:space="4"/>
      </w:pBdr>
      <w:jc w:val="center"/>
    </w:pPr>
    <w:r>
      <w:rPr>
        <w:rFonts w:ascii="Times New Roman" w:hAnsi="Times New Roman"/>
        <w:color w:val="6B6455"/>
        <w:sz w:val="18"/>
        <w:szCs w:val="18"/>
      </w:rPr>
      <w:t xml:space="preserve">The Quark-Hawking Bridge. Volume II: The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0202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Times New Roman" w:hAnsi="Times New Roman"/>
      <w:b/>
      <w:bCs/>
      <w:color w:val="1A1A1A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Quark-Hawking Bridge. Volume II: The Appendix (v1.2.0)</dc:title>
  <dc:creator>Isaev, Ishak Khamzatovich; wild8highlander</dc:creator>
  <dc:description>Quark-Hawking Bridge v1.2.0</dc:description>
  <cp:lastModifiedBy>Un-named</cp:lastModifiedBy>
  <cp:revision>1</cp:revision>
  <dcterms:created xsi:type="dcterms:W3CDTF">2026-10-09T22:17:29.488Z</dcterms:created>
  <dcterms:modified xsi:type="dcterms:W3CDTF">2026-10-09T22:17:29.488Z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