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A" w:val="clear"/>
            <w:vAlign w:val="top"/>
          </w:tcPr>
          <w:p>
            <w:pPr>
              <w:pBdr>
                <w:top w:val="single" w:color="C9A84C" w:sz="18" w:space="20"/>
              </w:pBdr>
              <w:spacing w:after="200" w:before="1400"/>
              <w:ind w:left="1000" w:right="1000"/>
            </w:pPr>
          </w:p>
          <w:p>
            <w:pPr>
              <w:spacing w:before="1700"/>
            </w:pPr>
          </w:p>
          <w:p>
            <w:pPr>
              <w:spacing w:after="550"/>
              <w:jc w:val="center"/>
            </w:pPr>
            <w:r>
              <w:rPr>
                <w:rFonts w:ascii="Times New Roman" w:hAnsi="Times New Roman"/>
                <w:color w:val="C9A84C"/>
                <w:spacing w:val="40"/>
                <w:sz w:val="20"/>
                <w:szCs w:val="20"/>
              </w:rPr>
              <w:t xml:space="preserve">Q  U  A  R  K  -  H  A  W  K  I  N  G     B  R  I  D  G  E</w:t>
            </w:r>
          </w:p>
          <w:p>
            <w:pPr>
              <w:spacing w:after="90" w:line="644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56"/>
                <w:szCs w:val="56"/>
              </w:rPr>
              <w:t xml:space="preserve">Мост «Кварк–Хокинг». Том</w:t>
            </w:r>
          </w:p>
          <w:p>
            <w:pPr>
              <w:spacing w:after="90" w:line="644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56"/>
                <w:szCs w:val="56"/>
              </w:rPr>
              <w:t xml:space="preserve">II: энциклопедическое</w:t>
            </w:r>
          </w:p>
          <w:p>
            <w:pPr>
              <w:spacing w:after="320" w:line="644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56"/>
                <w:szCs w:val="56"/>
              </w:rPr>
              <w:t xml:space="preserve">приложение</w:t>
            </w:r>
          </w:p>
          <w:p>
            <w:pPr>
              <w:spacing w:after="420"/>
              <w:jc w:val="center"/>
            </w:pPr>
            <w:r>
              <w:rPr>
                <w:rFonts w:ascii="Times New Roman" w:hAnsi="Times New Roman"/>
                <w:color w:val="C9C2AE"/>
                <w:sz w:val="26"/>
                <w:szCs w:val="26"/>
              </w:rPr>
              <w:t xml:space="preserve">константы, модели, кампании C1–C11, данные, ранбук, FAQ</w:t>
            </w:r>
          </w:p>
          <w:p>
            <w:pPr>
              <w:spacing w:before="1100"/>
            </w:pP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Isaev, Ishak Khamzatovich (Nalchik, KBR, RF)</w:t>
            </w: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co-author: wild8highlander (GitHub)</w:t>
            </w:r>
          </w:p>
          <w:p>
            <w:pPr>
              <w:spacing w:after="110" w:line="345" w:lineRule="atLeast"/>
              <w:jc w:val="center"/>
            </w:pPr>
            <w:r>
              <w:rPr>
                <w:rFonts w:ascii="Times New Roman" w:hAnsi="Times New Roman"/>
                <w:color w:val="B0A88F"/>
                <w:sz w:val="30"/>
                <w:szCs w:val="30"/>
              </w:rPr>
              <w:t xml:space="preserve">version 1.2.0 · October 2026</w:t>
            </w:r>
          </w:p>
          <w:p>
            <w:pPr>
              <w:spacing w:before="1900"/>
            </w:pPr>
          </w:p>
          <w:p>
            <w:pPr>
              <w:pBdr>
                <w:bottom w:val="single" w:color="C9A84C" w:sz="18" w:space="20"/>
              </w:pBdr>
              <w:spacing w:before="200"/>
              <w:ind w:left="1000" w:right="1000"/>
              <w:jc w:val="center"/>
            </w:pPr>
            <w:r>
              <w:rPr>
                <w:rFonts w:ascii="Times New Roman" w:hAnsi="Times New Roman"/>
                <w:color w:val="90896F"/>
                <w:sz w:val="19"/>
                <w:szCs w:val="19"/>
              </w:rPr>
              <w:t xml:space="preserve">QHB v1.2.0 · Isaev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/>
          <w:b/>
          <w:bCs/>
          <w:color w:val="1A1A1A"/>
          <w:sz w:val="30"/>
          <w:szCs w:val="30"/>
        </w:rPr>
        <w:t xml:space="preserve">Оглавление</w:t>
      </w:r>
    </w:p>
    <w:sdt>
      <w:sdtPr>
        <w:alias w:val="Оглавление. Правый клик — «Обновить поле» — обновит номера страниц."/>
      </w:sdtPr>
      <w:sdtContent>
        <w:p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Часть I. Реестр констант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Часть II. G-модель зазора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Часть III. Трёхтельный движок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Часть IV. W-модель двери Ву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Часть V. Кампании C1–C8 (v1.0–v1.1)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Часть VI. Кампании C9–C11 и Evidence Engine (v1.2.0)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Часть VII. Реестр теорем (сводка T1–T13)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Часть VIII. Мост и две точки контакта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Часть IX. Словарь данных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Часть X. Каталог фигур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Часть XI. Мультиязычная матрица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Часть XII. Ранбук воспроизведения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Часть XIII. Дорожная карта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Часть XIV. FAQ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/>
      </w:pPr>
      <w:r>
        <w:rPr>
          <w:rFonts w:ascii="Times New Roman" w:hAnsi="Times New Roman"/>
          <w:i/>
          <w:iCs/>
          <w:color w:val="8A8574"/>
          <w:sz w:val="18"/>
          <w:szCs w:val="18"/>
        </w:rPr>
        <w:t xml:space="preserve">Примечание: оглавление построено на полях. После правок обновите номера страниц: правый клик по оглавлению → «Обновить поле».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300" w:right="1400" w:bottom="1300" w:left="1500" w:header="708" w:footer="708" w:gutter="0"/>
          <w:pgNumType w:start="1" w:fmt="lowerRoman"/>
          <w:docGrid w:linePitch="360"/>
        </w:sectPr>
      </w:pPr>
    </w:p>
    <w:p>
      <w:pPr>
        <w:pStyle w:val="Heading1"/>
        <w:keepNext/>
        <w:spacing w:after="160" w:before="400"/>
      </w:pPr>
      <w:bookmarkStart w:id="100000" w:name="_Toc100000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I. Реестр констант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Единый источник истины — qhb/constants.py, три части. Часть A: CODATA-2018 и космологические/QCD-якоря (T_CMB = 2.72548 K, T_QCD = 155.16 МэВ в точном пересчёте, эта = 6.1e-10, якорь Ву 0.9 с пометкой «приближённый»). Часть B: наследие CHB — спинорные фазы и шесть квантов поправок (точные), члены ансамбля рождения f~ = 0.2877 / 0.2684 / 1.0 (унаследованные якоря из кампании C1 CHB), данные закона дрейфа T10 родительского пакета. Часть C: зафиксированные вердикты кампаний C1–C11, перегенерируемые скриптами run_c*.py. С v1.2.0 часть C пополняется блоками фазовой карты (C9), абляции (C10) и вихревого якоря (C11).</w:t>
      </w:r>
    </w:p>
    <w:p>
      <w:pPr>
        <w:pStyle w:val="Heading1"/>
        <w:keepNext/>
        <w:spacing w:after="160" w:before="400"/>
      </w:pPr>
      <w:bookmarkStart w:id="100001" w:name="_Toc100001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II. G-модель зазора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Геометрия: цепь Дирихле из N узлов с параболической ямой q_n = (каппа/2)x_n² − q_pk, континуально-согласованный прыжок J = 1/h². Редукция: два нижних уровня → двухполосная система с расщеплением Дельта_0. Драйв: H(t) = (Дельта_0/2)sigma_z + v(t)sigma_x + w(t)sigma_z, v — берри-модуляция (поперечная), w — тормозная (продольная), частоты (2,3,7)·Омега0, фазы септиниальные. Флоке: U(T0) из M = 1920 кусочно-постоянных точных 2×2 экспонент; квазиэнергии — из собственных фаз со свёрткой; зазор — меньший из двух интервалов.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Граница применимости двухполосной редукции — Дельта_0 ≤ Омега_0/2 = 1; при q_pk &lt; 0.2 статическое расщепление выходит за край зоны, и модель честно покидает свой режим — кампания C9 исключает эту ветвь из карты, не отображая её.</w:t>
      </w:r>
    </w:p>
    <w:p>
      <w:pPr>
        <w:pStyle w:val="Heading1"/>
        <w:keepNext/>
        <w:spacing w:after="160" w:before="400"/>
      </w:pPr>
      <w:bookmarkStart w:id="100002" w:name="_Toc100002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III. Трёхтельный движок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engine/solver.py — векторизованный RK4 по ансамблю: три равные массы, смягчённая ньютоновская гравитация (eps² = 1e-2), шаг dt = 2e-3, время t_end = 12, радиус побега R_esc = 12, раннее замораживание пересёкших границу. Стенка: U(r,t) = V0(1 + cos Омега t)·max(0, (r − R_b)/w)², R_b = 8, w = 1, p = 2. Ансамбль: 300 испытаний в полосе E из [−0.6, −0.05), зерно 20261010. Валидационный якорь — кеплеровский эллипс e = 0.5: относительная ошибка периода 1.3e-9.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С v1.2.0 движок несёт точный статический барьер (T13): при Омега = 0 энергия сохраняется, и каждое решение подчиняется границе r_i ≤ R_b + w·sqrt((E0 + 3/√eps²)/(2V0)); побег невозможен при V0 &gt; V* = 0.9359375 на зафиксированной полосе. Осциллирующая стенка работу совершает (медиана |dE| = 0.146 на ячейке (0.8, 2)) — печать конечна по времени, и обе пометки путешествуют с числами.</w:t>
      </w:r>
    </w:p>
    <w:p>
      <w:pPr>
        <w:pStyle w:val="Heading1"/>
        <w:keepNext/>
        <w:spacing w:after="160" w:before="400"/>
      </w:pPr>
      <w:bookmarkStart w:id="100003" w:name="_Toc100003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IV. W-модель двери Ву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Линейная двухскоростная кинетика: рождения Гамма_b, аннигиляции Гамма(1 −/+ альфа), заморозка при t_f = 1/H. Замкнутая форма остатка r(альфа, x) — теорема T7 тома теорем. Стохастическая реализация: N_± ~ Пуассон с прореженным выживанием, 200 000 реализаций на ячейку, зерно 20261010. Парная кинетика C8 заменяет линейное среднее поле; замкнутая форма T7 не распространяется — точное структурное негативное заключение.</w:t>
      </w:r>
    </w:p>
    <w:p>
      <w:pPr>
        <w:pStyle w:val="Heading1"/>
        <w:keepNext/>
        <w:spacing w:after="160" w:before="400"/>
      </w:pPr>
      <w:bookmarkStart w:id="100004" w:name="_Toc100004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V. Кампании C1–C8 (v1.0–v1.1)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Восемь кампаний первого цикла: C1 — статика и закон зазора (T2/T3); C2 — ловушка: Гашо, сетка 9×4, Ляпунов (T4–T6); C3 — дверь Ву (T7); C4 — спектральный пол (T9); C5 — закон дрейфа (T10); C6 — трёхветвевое физическое отображение; C7 — ангармоническое трио с конфайн-ядром; C8 — парная дверь. Все вердикты детерминированы, несут project_version 1.1.0 и перепроверены регрессионным гейтом C7 и аудитом.</w:t>
      </w:r>
    </w:p>
    <w:p>
      <w:pPr>
        <w:pStyle w:val="Heading1"/>
        <w:keepNext/>
        <w:spacing w:after="160" w:before="400"/>
      </w:pPr>
      <w:bookmarkStart w:id="100005" w:name="_Toc100005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VI. Кампании C9–C11 и Evidence Engine (v1.2.0)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C9 — фазовая карта.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Сетка 9×41 (q_pk из {0.2…1.0} с границей режима Дельта_0 ≤ Омега_0/2; бета из [0, 10] с шагом 0.25, M = 1920). Классификация против порога детектора 2/N = 0.03125: все 369 ячеек OPEN — закрытия нет на прочесанном диапазоне (конечный диапазон, β_max = 10 — часть утверждения). Сужающаяся долина: β* = 3.3583, Δ_F,min = 0.181777 при зафиксированной геометрии; воспроизводимость при уточнении — dev 0.0002 &lt; 0.05; N-устойчивость &lt; 0.001. Контрпример: квадратичный прогноз закрытия β_c = 2.9910 опровергнут — измерено 0.1978, в 6.3 раза выше порога.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C10 — конкурирующие модели.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Факторная абляция: 8 конфигураций секторных масок; каузальные доли |B2| — A 91.95%, B 8.00%, C 0.049%; аддитивность — максимальный кросс 1.3e-4; тормозно-единственная конфигурация даёт B2 = 0.0 точно; чётность b-флипа — машинные нули на всех семи поперечных конфигурациях. Внегнездовой прогноз (фит на [0, 0.1], проверка на {0.3…0.8}): доля ошибки 0.3% → 2.3%, степень остатка 4.07 — квартчное крыло квантифицировано как провал прогноза, не как опровержение T3.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C11 — вихревой якорь и статический барьер.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Собственный классический слой qhb/vortex.py: уравнения Кирхгофа, RK4 dt = 1e-3, четыре инварианта. T11: жёсткое вращение до 1.5e-14 на три оборота, спектр линеаризации {0, 0, ±iω, ±iω} (точный аналитический якобиан, max|Re| = 2.8e-17), символьный полином λ²(λ²+ω²)² — dev 0 (SymPy, IVP11). T12: многообразие Арефа (1, 1, −1) — машинные нули инвариантов при 50 знаках, дрейф ≤ 1.5e-12, r_max = 2.7654 &lt;&lt; 12 — связанность без стенки. T13: статический барьер, V* = 0.9359375, 0/300 побегов, запасы ≥ 2.76.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Evidence Engine.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results/claims_registry.json — 27 утверждений в пяти статусах (exact / measured-law / honest-negative / hypothesis / comparison) с пятисоставными бюджетами неопределённости и критериями опровержения; валидатор qhb.claims, пин в тестах. Прозаический реестр — results/CLAIMS.md.</w:t>
      </w:r>
    </w:p>
    <w:p>
      <w:pPr>
        <w:pStyle w:val="Heading1"/>
        <w:keepNext/>
        <w:spacing w:after="160" w:before="400"/>
      </w:pPr>
      <w:bookmarkStart w:id="100006" w:name="_Toc100006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VII. Реестр теорем (сводка T1–T13)</w:t>
      </w:r>
      <w:bookmarkEnd w:id="100006"/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6B6455"/>
          <w:sz w:val="21"/>
          <w:szCs w:val="21"/>
        </w:rPr>
        <w:t xml:space="preserve">Таблица 7.1 — тринадцать теорем пакета</w:t>
      </w:r>
    </w:p>
    <w:tbl>
      <w:tblPr>
        <w:tblW w:type="pct" w:w="100%"/>
        <w:tblBorders>
          <w:top w:val="single" w:color="DDD5C0" w:sz="4"/>
          <w:left w:val="single" w:color="DDD5C0" w:sz="4"/>
          <w:bottom w:val="single" w:color="DDD5C0" w:sz="4"/>
          <w:right w:val="single" w:color="DDD5C0" w:sz="4"/>
          <w:insideH w:val="single" w:color="DDD5C0" w:sz="4"/>
          <w:insideV w:val="single" w:color="DDD5C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№</w:t>
            </w:r>
          </w:p>
        </w:tc>
        <w:tc>
          <w:tcPr>
            <w:tcW w:type="dxa" w:w="38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теорема</w:t>
            </w:r>
          </w:p>
        </w:tc>
        <w:tc>
          <w:tcPr>
            <w:tcW w:type="dxa" w:w="19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500"/>
            <w:shd w:fill="C9A84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/>
                <w:bCs/>
                <w:color w:val="1A1A1A"/>
                <w:sz w:val="20"/>
                <w:szCs w:val="20"/>
              </w:rPr>
              <w:t xml:space="preserve">кампания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шесть квантов поправок (точные формулы)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C1/validate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T2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правила отбора: чётности и невидимость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 + данные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C1, C10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T3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закон зазора (окно [0, 0.2])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измеренный закон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T4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критерий Гашо: неустойчивость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 (негатив)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C2, IVP06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T5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свободное трио разбегается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честный негатив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C2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T6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стенка запечатывает; связанный хаос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измеренный закон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C2, C7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T7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дверь Ву: замкнутая форма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 в toy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C3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T8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контакт с QCD: M_QCD = 6.814e10 кг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C6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T9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спектральный пол детектора (2/N)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закон детектора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C4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T10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закон дрейфа зазора (h², канал −0.209)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измеренный закон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C5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T11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контраст устойчивости (вихри против Ньютона)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C11, IVP11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T12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инвариантная стена (многообразие Арефа)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измерено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C11</w:t>
            </w:r>
          </w:p>
        </w:tc>
      </w:tr>
      <w:tr>
        <w:trPr>
          <w:cantSplit/>
        </w:trPr>
        <w:tc>
          <w:tcPr>
            <w:tcW w:type="dxa" w:w="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T13</w:t>
            </w:r>
          </w:p>
        </w:tc>
        <w:tc>
          <w:tcPr>
            <w:tcW w:type="dxa" w:w="38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статический барьер (V* = 0.9359375)</w:t>
            </w:r>
          </w:p>
        </w:tc>
        <w:tc>
          <w:tcPr>
            <w:tcW w:type="dxa" w:w="19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точно для движка</w:t>
            </w:r>
          </w:p>
        </w:tc>
        <w:tc>
          <w:tcPr>
            <w:tcW w:type="dxa" w:w="1500"/>
            <w:shd w:fill="F5F2E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Times New Roman" w:hAnsi="Times New Roman"/>
                <w:b w:val="false"/>
                <w:bCs w:val="false"/>
                <w:color w:val="202020"/>
                <w:sz w:val="20"/>
                <w:szCs w:val="20"/>
              </w:rPr>
              <w:t xml:space="preserve">C11</w:t>
            </w:r>
          </w:p>
        </w:tc>
      </w:tr>
    </w:tbl>
    <w:p>
      <w:pPr>
        <w:pStyle w:val="Heading1"/>
        <w:keepNext/>
        <w:spacing w:after="160" w:before="400"/>
      </w:pPr>
      <w:bookmarkStart w:id="100007" w:name="_Toc100007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VIII. Мост и две точки контакта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Мастер-таблица моста — 15 рядов (3 члена ансамбля f~ × 5 входных масштабов: планкеновский, QCD, астероид 1e12 кг, CMB, солнечный) × 23 колонки термодинамики Шварцшильда. Две точки контакта: QCD — T_H = 155.16 МэВ выделяет M = 6.814006e10 кг (сравнение с литературными первичными дырами эпохи КХД ~1e11 кг, отношение 0.68, только сравнение); CMB — унаследованный контакт 4.5016e22 кг. Отображение зазора: f_gap = Дельта_0·k_B·T/h; на контакте QCD квант зазора 81.1 МэВ — та же декада, что Λ_QCD (отношение 4.09), сравнение, не вывод.</w:t>
      </w:r>
    </w:p>
    <w:p>
      <w:pPr>
        <w:pStyle w:val="Heading1"/>
        <w:keepNext/>
        <w:spacing w:after="160" w:before="400"/>
      </w:pPr>
      <w:bookmarkStart w:id="100008" w:name="_Toc100008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IX. Словарь данных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data/qhb/ — 32 производные таблицы, пересобираемые scripts/rebuild_data.py из вердиктов байт-в-бит (пин в тестах). Основные: bridge_master.csv, qhb_constants.csv, лестницы масштабов, gap_scan_window.json, gap_per_sector.json, trap_grid.csv, trap_lyapunov.json, wu_residual_grid.csv, floor_ladder.csv, drift_ladder.csv, mapping_branches.csv, anharmonic_*, pairwise_*, и новые v1.2.0: phase_map.csv (369 ячеек), phase_valley.csv, phase_counterexample.json, ablation.csv, forecast.csv, ablation_additivity.json, barrier_cells.csv, vortex_anchor.json.</w:t>
      </w:r>
    </w:p>
    <w:p>
      <w:pPr>
        <w:pStyle w:val="Heading1"/>
        <w:keepNext/>
        <w:spacing w:after="160" w:before="400"/>
      </w:pPr>
      <w:bookmarkStart w:id="100009" w:name="_Toc100009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X. Каталог фигур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Фигуры 300 dpi: 10 архитектур × RU/EN × light/dark = 40 файлов (figures/). Новые v1.2.0: fig_phase (долина, порог, контрпример), fig_ablation (каузальная карта), fig_vortex (многообразие Арефа + статический барьер). Hi-res 600 dpi: 25 архитектур × RU/EN × темы = 100 файлов (figures_hires/), включая hq_21–hq_25 (долина, каузальная карта, барьер, тепловая карта фазовой плоскости, зум абляции). Все — через scripts/figstyle.py, чернила и золото, constrained_layout.</w:t>
      </w:r>
    </w:p>
    <w:p>
      <w:pPr>
        <w:pStyle w:val="Heading1"/>
        <w:keepNext/>
        <w:spacing w:after="160" w:before="400"/>
      </w:pPr>
      <w:bookmarkStart w:id="100010" w:name="_Toc100010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XI. Мультиязычная матрица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Близнецы закрытого ядра: JavaScript, C, C++ — 14/14 PASS каждый (v1.2.0 добавляет вихревую скорость Лагранжа 3/(2пи) к блоку из 13 проверок); эталонные выводы закоммичены (multilang/*/reference_output.txt) и прибиты тестами. Go, Rust, Julia — исходные близнецы с тем же блоком. Ничего не скачивается, ничего не подгоняется.</w:t>
      </w:r>
    </w:p>
    <w:p>
      <w:pPr>
        <w:pStyle w:val="Heading1"/>
        <w:keepNext/>
        <w:spacing w:after="160" w:before="400"/>
      </w:pPr>
      <w:bookmarkStart w:id="100011" w:name="_Toc100011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XII. Ранбук воспроизведения</w:t>
      </w:r>
      <w:bookmarkEnd w:id="100011"/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pip install -e ".[dev]"        # установка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test                       # 94 пина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validate                   # 9/9 mpmath (50 знаков)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claims                     # 27 утверждений, схема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data                       # 32 таблицы из вердиктов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figures                    # 40 фигур @300dpi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python3 scripts/hires_figures.py  # 100 hires @600dpi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c1 c3 c4 c5 c6 c9 c10 c11  # быстрые кампании (~65 с суммарно)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c2                         # ~3.5 мин (ловушка)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make c7                         # ~5 мин (ангармоническое трио)</w:t>
      </w:r>
    </w:p>
    <w:p>
      <w:pPr>
        <w:spacing w:after="20" w:line="276"/>
        <w:ind w:left="720"/>
        <w:jc w:val="left"/>
      </w:pPr>
      <w:r>
        <w:rPr>
          <w:rFonts w:ascii="Times New Roman" w:hAnsi="Times New Roman"/>
          <w:color w:val="2A2A2A"/>
          <w:sz w:val="21"/>
          <w:szCs w:val="21"/>
        </w:rPr>
        <w:t xml:space="preserve">bash independent_verification/RUN_ALL.sh   # аудит IVP-11: 11/11</w:t>
      </w:r>
    </w:p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Все одиннадцать кампаний детерминированы (единственное зерно 20261010; C6, C8, C9, C10 — полностью детерминированные замкнутые формы/дискретизации): повторный прогон возвращает физику бит-в-бит, смещаются только времена стенки. Тяжёлые кампании C2/C7 пересчитываются за минуты; остальные — секунды.</w:t>
      </w:r>
    </w:p>
    <w:p>
      <w:pPr>
        <w:pStyle w:val="Heading1"/>
        <w:keepNext/>
        <w:spacing w:after="160" w:before="400"/>
      </w:pPr>
      <w:bookmarkStart w:id="100012" w:name="_Toc100012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XIII. Дорожная карта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Закрыто: C6–C8 (v1.1.0), C9–C11 + Evidence Engine + IVP-11 (v1.2.0). Открыто: модернизация движка (адаптивный шаг у тесных сближений — AMR-стиль заострит статистики побега); адаптивный выбор экспериментов (локус долины C9 — естественное зерно для траты следующих CPU-часов там, где неопределённость фазовой границы наибольшая); интерактивная доставка (браузерный фронтенд решателя — ядро уже чистые функции).</w:t>
      </w:r>
    </w:p>
    <w:p>
      <w:pPr>
        <w:pStyle w:val="Heading1"/>
        <w:keepNext/>
        <w:spacing w:after="160" w:before="400"/>
      </w:pPr>
      <w:bookmarkStart w:id="100013" w:name="_Toc100013"/>
      <w:r>
        <w:rPr>
          <w:rFonts w:ascii="Times New Roman" w:hAnsi="Times New Roman"/>
          <w:b/>
          <w:bCs/>
          <w:color w:val="1A1A1A"/>
          <w:sz w:val="32"/>
          <w:szCs w:val="32"/>
        </w:rPr>
        <w:t xml:space="preserve">Часть XIV. FAQ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Доказывает ли пакет гипотезу Янга — Миллса?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Нет. Каждая теорема — машинный факт о зафиксированной toy-модели; отображение на физические масштабы — помеченная гипотеза и сравнения. Пакет честно приближается к проблеме со стороны toy-слоя: зазор не закрывается на всей прочесанной карте (C9), механизм драйва каузально разложен (C10), ловушка получила точную стратификацию (T13) и классический контраст (T11).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Почему вихревой слой?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Классическая задача трёх вихрей (Кирхгоф 1876) — старейшая редукция гидродинамики к задаче нескольких тел с четырьмя аналитическими инвариантами и ТОЧНЫМ контрастом к ньютоновской неустойчивости Гашо: тот же треугольник, другая структура взаимодействия — другая устойчивость. Это самый сильный аналитический аргумент пакета в пользу звена H4: ловушка — свойство взаимодействия, а не «тройственности». Реализация — по классическим уравнениям, собственными путями пакета, с символьным доказательством характеристического полинома.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Что означает «машиночитаемо или этого не было»?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Каждое числовое утверждение прослеживается к закоммиченному JSON/CSV-вердикту с адресом; консольный вывод — не артефакт. Реестр утверждений связывает каждое несущее высказывание со статусом, бюджетом неопределённости и критерием опровержения; цитирование обязано нести пометку статуса.</w:t>
      </w:r>
    </w:p>
    <w:p>
      <w:pPr>
        <w:spacing w:after="80" w:line="312"/>
        <w:ind w:firstLine="480"/>
        <w:jc w:val="both"/>
      </w:pPr>
      <w:r>
        <w:rPr>
          <w:rFonts w:ascii="Times New Roman" w:hAnsi="Times New Roman"/>
          <w:b/>
          <w:bCs/>
          <w:color w:val="202020"/>
          <w:sz w:val="24"/>
          <w:szCs w:val="24"/>
        </w:rPr>
        <w:t xml:space="preserve">Как воспроизвести?</w:t>
      </w:r>
      <w:r>
        <w:rPr>
          <w:rFonts w:ascii="Times New Roman" w:hAnsi="Times New Roman"/>
          <w:b w:val="false"/>
          <w:bCs w:val="false"/>
          <w:color w:val="202020"/>
          <w:sz w:val="24"/>
          <w:szCs w:val="24"/>
        </w:rPr>
        <w:t xml:space="preserve"> Ранбук части XII: установка, тесты, валидация, кампании, аудит — всё одной командой на чистом окружении, без ручных промежуточных таблиц.</w:t>
      </w:r>
    </w:p>
    <w:sectPr>
      <w:headerReference w:type="default" r:id="rId9"/>
      <w:footerReference w:type="default" r:id="rId10"/>
      <w:type w:val="nextPage"/>
      <w:pgSz w:w="11906" w:h="16838" w:orient="portrait"/>
      <w:pgMar w:top="1300" w:right="1400" w:bottom="1300" w:left="15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6B64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6B64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6" w:space="4"/>
      </w:pBdr>
      <w:jc w:val="center"/>
    </w:pPr>
    <w:r>
      <w:rPr>
        <w:rFonts w:ascii="Times New Roman" w:hAnsi="Times New Roman"/>
        <w:color w:val="6B6455"/>
        <w:sz w:val="18"/>
        <w:szCs w:val="18"/>
      </w:rPr>
      <w:t xml:space="preserve">Мост «Кварк–Хокинг». Том II: приложение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6" w:space="4"/>
      </w:pBdr>
      <w:jc w:val="center"/>
    </w:pPr>
    <w:r>
      <w:rPr>
        <w:rFonts w:ascii="Times New Roman" w:hAnsi="Times New Roman"/>
        <w:color w:val="6B6455"/>
        <w:sz w:val="18"/>
        <w:szCs w:val="18"/>
      </w:rPr>
      <w:t xml:space="preserve">Мост «Кварк–Хокинг». Том II: приложение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0202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Times New Roman" w:hAnsi="Times New Roman"/>
      <w:b/>
      <w:bCs/>
      <w:color w:val="1A1A1A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Мост «Кварк–Хокинг». Том II: энциклопедическое приложение (v1.2.0)</dc:title>
  <dc:creator>Isaev, Ishak Khamzatovich; wild8highlander</dc:creator>
  <dc:description>Quark-Hawking Bridge v1.2.0</dc:description>
  <cp:lastModifiedBy>Un-named</cp:lastModifiedBy>
  <cp:revision>1</cp:revision>
  <dcterms:created xsi:type="dcterms:W3CDTF">2026-10-09T22:17:29.458Z</dcterms:created>
  <dcterms:modified xsi:type="dcterms:W3CDTF">2026-10-09T22:17:29.458Z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