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Layout w:type="fixed"/>
      </w:tblPr>
      <w:tblGrid>
        <w:gridCol w:w="100"/>
      </w:tblGrid>
      <w:tr>
        <w:trPr>
          <w:trHeight w:val="16838" w:hRule="exact"/>
        </w:trPr>
        <w:tc>
          <w:tcPr>
            <w:tcBorders>
              <w:top w:val="none" w:color="auto" w:sz="0"/>
              <w:left w:val="none" w:color="auto" w:sz="0"/>
              <w:bottom w:val="none" w:color="auto" w:sz="0"/>
              <w:right w:val="none" w:color="auto" w:sz="0"/>
            </w:tcBorders>
            <w:shd w:fill="1A1A1A" w:val="clear"/>
            <w:vAlign w:val="top"/>
          </w:tcPr>
          <w:p>
            <w:pPr>
              <w:pBdr>
                <w:top w:val="single" w:color="C9A84C" w:sz="18" w:space="20"/>
              </w:pBdr>
              <w:spacing w:after="200" w:before="1400"/>
              <w:ind w:left="1000" w:right="1000"/>
            </w:pPr>
          </w:p>
          <w:p>
            <w:pPr>
              <w:spacing w:before="1700"/>
            </w:pPr>
          </w:p>
          <w:p>
            <w:pPr>
              <w:spacing w:after="550"/>
              <w:jc w:val="center"/>
            </w:pPr>
            <w:r>
              <w:rPr>
                <w:rFonts w:ascii="Times New Roman" w:hAnsi="Times New Roman"/>
                <w:color w:val="C9A84C"/>
                <w:spacing w:val="40"/>
                <w:sz w:val="20"/>
                <w:szCs w:val="20"/>
              </w:rPr>
              <w:t xml:space="preserve">Q  U  A  R  K  -  H  A  W  K  I  N  G     B  R  I  D  G  E</w:t>
            </w:r>
          </w:p>
          <w:p>
            <w:pPr>
              <w:spacing w:after="90" w:line="644" w:lineRule="atLeast"/>
              <w:jc w:val="center"/>
            </w:pPr>
            <w:r>
              <w:rPr>
                <w:rFonts w:ascii="Times New Roman" w:hAnsi="Times New Roman"/>
                <w:b/>
                <w:bCs/>
                <w:color w:val="FFFFFF"/>
                <w:sz w:val="56"/>
                <w:szCs w:val="56"/>
              </w:rPr>
              <w:t xml:space="preserve">The Quark-Hawking Bridge.</w:t>
            </w:r>
          </w:p>
          <w:p>
            <w:pPr>
              <w:spacing w:after="320" w:line="644" w:lineRule="atLeast"/>
              <w:jc w:val="center"/>
            </w:pPr>
            <w:r>
              <w:rPr>
                <w:rFonts w:ascii="Times New Roman" w:hAnsi="Times New Roman"/>
                <w:b/>
                <w:bCs/>
                <w:color w:val="FFFFFF"/>
                <w:sz w:val="56"/>
                <w:szCs w:val="56"/>
              </w:rPr>
              <w:t xml:space="preserve">Volume I: The Theorems</w:t>
            </w:r>
          </w:p>
          <w:p>
            <w:pPr>
              <w:spacing w:after="420"/>
              <w:jc w:val="center"/>
            </w:pPr>
            <w:r>
              <w:rPr>
                <w:rFonts w:ascii="Times New Roman" w:hAnsi="Times New Roman"/>
                <w:color w:val="C9C2AE"/>
                <w:sz w:val="26"/>
                <w:szCs w:val="26"/>
              </w:rPr>
              <w:t xml:space="preserve">thirteen theorems T1–T13 on the gap, the door, the trap and the barrier</w:t>
            </w:r>
          </w:p>
          <w:p>
            <w:pPr>
              <w:spacing w:before="1100"/>
            </w:pPr>
          </w:p>
          <w:p>
            <w:pPr>
              <w:spacing w:after="110" w:line="345" w:lineRule="atLeast"/>
              <w:jc w:val="center"/>
            </w:pPr>
            <w:r>
              <w:rPr>
                <w:rFonts w:ascii="Times New Roman" w:hAnsi="Times New Roman"/>
                <w:color w:val="B0A88F"/>
                <w:sz w:val="30"/>
                <w:szCs w:val="30"/>
              </w:rPr>
              <w:t xml:space="preserve">Isaev, Ishak Khamzatovich (Nalchik, KBR, RF)</w:t>
            </w:r>
          </w:p>
          <w:p>
            <w:pPr>
              <w:spacing w:after="110" w:line="345" w:lineRule="atLeast"/>
              <w:jc w:val="center"/>
            </w:pPr>
            <w:r>
              <w:rPr>
                <w:rFonts w:ascii="Times New Roman" w:hAnsi="Times New Roman"/>
                <w:color w:val="B0A88F"/>
                <w:sz w:val="30"/>
                <w:szCs w:val="30"/>
              </w:rPr>
              <w:t xml:space="preserve">co-author: wild8highlander (GitHub)</w:t>
            </w:r>
          </w:p>
          <w:p>
            <w:pPr>
              <w:spacing w:after="110" w:line="345" w:lineRule="atLeast"/>
              <w:jc w:val="center"/>
            </w:pPr>
            <w:r>
              <w:rPr>
                <w:rFonts w:ascii="Times New Roman" w:hAnsi="Times New Roman"/>
                <w:color w:val="B0A88F"/>
                <w:sz w:val="30"/>
                <w:szCs w:val="30"/>
              </w:rPr>
              <w:t xml:space="preserve">version 1.2.0 · October 2026</w:t>
            </w:r>
          </w:p>
          <w:p>
            <w:pPr>
              <w:spacing w:before="1900"/>
            </w:pPr>
          </w:p>
          <w:p>
            <w:pPr>
              <w:pBdr>
                <w:bottom w:val="single" w:color="C9A84C" w:sz="18" w:space="20"/>
              </w:pBdr>
              <w:spacing w:before="200"/>
              <w:ind w:left="1000" w:right="1000"/>
              <w:jc w:val="center"/>
            </w:pPr>
            <w:r>
              <w:rPr>
                <w:rFonts w:ascii="Times New Roman" w:hAnsi="Times New Roman"/>
                <w:color w:val="90896F"/>
                <w:sz w:val="19"/>
                <w:szCs w:val="19"/>
              </w:rPr>
              <w:t xml:space="preserve">QHB v1.2.0 · Isaev Proprietary</w:t>
            </w:r>
          </w:p>
        </w:tc>
      </w:tr>
    </w:tbl>
    <w:p>
      <w:pPr>
        <w:sectPr>
          <w:pgSz w:w="11906" w:h="16838" w:orient="portrait"/>
          <w:pgMar w:top="0" w:right="0" w:bottom="0" w:left="0" w:header="708" w:footer="708" w:gutter="0"/>
          <w:pgNumType/>
          <w:docGrid w:linePitch="360"/>
        </w:sectPr>
      </w:pPr>
    </w:p>
    <w:p>
      <w:pPr>
        <w:spacing w:after="240"/>
        <w:jc w:val="center"/>
      </w:pPr>
      <w:r>
        <w:rPr>
          <w:rFonts w:ascii="Times New Roman" w:hAnsi="Times New Roman"/>
          <w:b/>
          <w:bCs/>
          <w:color w:val="1A1A1A"/>
          <w:sz w:val="30"/>
          <w:szCs w:val="30"/>
        </w:rPr>
        <w:t xml:space="preserve">Contents</w:t>
      </w:r>
    </w:p>
    <w:sdt>
      <w:sdtPr>
        <w:alias w:val="Table of contents. Right-click — &quot;Update Field&quot; refreshes the page numbers."/>
      </w:sdtPr>
      <w:sdtContent>
        <w:p>
          <w:r>
            <w:fldChar w:fldCharType="begin" w:dirty="true"/>
          </w:r>
          <w:r>
            <w:instrText xml:space="preserve">TOC \h \o "1-1"</w:instrText>
          </w:r>
          <w:r>
            <w:fldChar w:fldCharType="separate"/>
          </w:r>
        </w:p>
        <w:p>
          <w:pPr>
            <w:pStyle w:val="9"/>
            <w:tabs>
              <w:tab w:val="right" w:leader="dot" w:pos="9026"/>
            </w:tabs>
            <w:spacing w:before="120" w:after="60"/>
          </w:pPr>
          <w:hyperlink w:anchor="_Toc100000" w:history="1">
            <w:r>
              <w:rPr>
                <w:rStyle w:val="Hyperlink"/>
              </w:rPr>
              <w:t>1. The riddle and the proposal</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Notation and units</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T1 — the six correction quanta (exact)</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4. T2 — the selection rules (exact + machine)</w:t>
            </w:r>
            <w:r>
              <w:tab/>
            </w:r>
            <w:r>
              <w:fldChar w:fldCharType="begin"/>
            </w:r>
            <w:r>
              <w:instrText xml:space="preserve"> PAGEREF _Toc100003 \h </w:instrText>
            </w:r>
            <w:r>
              <w:fldChar w:fldCharType="separate"/>
            </w:r>
            <w:r>
              <w:t>3</w:t>
            </w:r>
            <w:r>
              <w:fldChar w:fldCharType="end"/>
            </w:r>
          </w:hyperlink>
        </w:p>
        <w:p>
          <w:pPr>
            <w:pStyle w:val="9"/>
            <w:tabs>
              <w:tab w:val="right" w:leader="dot" w:pos="9026"/>
            </w:tabs>
            <w:spacing w:before="120" w:after="60"/>
          </w:pPr>
          <w:hyperlink w:anchor="_Toc100004" w:history="1">
            <w:r>
              <w:rPr>
                <w:rStyle w:val="Hyperlink"/>
              </w:rPr>
              <w:t>5. T3 — the gap law (window [0, 0.2])</w:t>
            </w:r>
            <w:r>
              <w:tab/>
            </w:r>
            <w:r>
              <w:fldChar w:fldCharType="begin"/>
            </w:r>
            <w:r>
              <w:instrText xml:space="preserve"> PAGEREF _Toc100004 \h </w:instrText>
            </w:r>
            <w:r>
              <w:fldChar w:fldCharType="separate"/>
            </w:r>
            <w:r>
              <w:t>3</w:t>
            </w:r>
            <w:r>
              <w:fldChar w:fldCharType="end"/>
            </w:r>
          </w:hyperlink>
        </w:p>
        <w:p>
          <w:pPr>
            <w:pStyle w:val="9"/>
            <w:tabs>
              <w:tab w:val="right" w:leader="dot" w:pos="9026"/>
            </w:tabs>
            <w:spacing w:before="120" w:after="60"/>
          </w:pPr>
          <w:hyperlink w:anchor="_Toc100005" w:history="1">
            <w:r>
              <w:rPr>
                <w:rStyle w:val="Hyperlink"/>
              </w:rPr>
              <w:t>6. T4 — the Gascheau criterion (exact negative)</w:t>
            </w:r>
            <w:r>
              <w:tab/>
            </w:r>
            <w:r>
              <w:fldChar w:fldCharType="begin"/>
            </w:r>
            <w:r>
              <w:instrText xml:space="preserve"> PAGEREF _Toc100005 \h </w:instrText>
            </w:r>
            <w:r>
              <w:fldChar w:fldCharType="separate"/>
            </w:r>
            <w:r>
              <w:t>4</w:t>
            </w:r>
            <w:r>
              <w:fldChar w:fldCharType="end"/>
            </w:r>
          </w:hyperlink>
        </w:p>
        <w:p>
          <w:pPr>
            <w:pStyle w:val="9"/>
            <w:tabs>
              <w:tab w:val="right" w:leader="dot" w:pos="9026"/>
            </w:tabs>
            <w:spacing w:before="120" w:after="60"/>
          </w:pPr>
          <w:hyperlink w:anchor="_Toc100006" w:history="1">
            <w:r>
              <w:rPr>
                <w:rStyle w:val="Hyperlink"/>
              </w:rPr>
              <w:t>7. T5 — the free trio unbinds (negative)</w:t>
            </w:r>
            <w:r>
              <w:tab/>
            </w:r>
            <w:r>
              <w:fldChar w:fldCharType="begin"/>
            </w:r>
            <w:r>
              <w:instrText xml:space="preserve"> PAGEREF _Toc100006 \h </w:instrText>
            </w:r>
            <w:r>
              <w:fldChar w:fldCharType="separate"/>
            </w:r>
            <w:r>
              <w:t>5</w:t>
            </w:r>
            <w:r>
              <w:fldChar w:fldCharType="end"/>
            </w:r>
          </w:hyperlink>
        </w:p>
        <w:p>
          <w:pPr>
            <w:pStyle w:val="9"/>
            <w:tabs>
              <w:tab w:val="right" w:leader="dot" w:pos="9026"/>
            </w:tabs>
            <w:spacing w:before="120" w:after="60"/>
          </w:pPr>
          <w:hyperlink w:anchor="_Toc100007" w:history="1">
            <w:r>
              <w:rPr>
                <w:rStyle w:val="Hyperlink"/>
              </w:rPr>
              <w:t>8. T6 — the wall seals; bound chaos</w:t>
            </w:r>
            <w:r>
              <w:tab/>
            </w:r>
            <w:r>
              <w:fldChar w:fldCharType="begin"/>
            </w:r>
            <w:r>
              <w:instrText xml:space="preserve"> PAGEREF _Toc100007 \h </w:instrText>
            </w:r>
            <w:r>
              <w:fldChar w:fldCharType="separate"/>
            </w:r>
            <w:r>
              <w:t>5</w:t>
            </w:r>
            <w:r>
              <w:fldChar w:fldCharType="end"/>
            </w:r>
          </w:hyperlink>
        </w:p>
        <w:p>
          <w:pPr>
            <w:pStyle w:val="9"/>
            <w:tabs>
              <w:tab w:val="right" w:leader="dot" w:pos="9026"/>
            </w:tabs>
            <w:spacing w:before="120" w:after="60"/>
          </w:pPr>
          <w:hyperlink w:anchor="_Toc100008" w:history="1">
            <w:r>
              <w:rPr>
                <w:rStyle w:val="Hyperlink"/>
              </w:rPr>
              <w:t>9. T7 — the Wu door (closed form)</w:t>
            </w:r>
            <w:r>
              <w:tab/>
            </w:r>
            <w:r>
              <w:fldChar w:fldCharType="begin"/>
            </w:r>
            <w:r>
              <w:instrText xml:space="preserve"> PAGEREF _Toc100008 \h </w:instrText>
            </w:r>
            <w:r>
              <w:fldChar w:fldCharType="separate"/>
            </w:r>
            <w:r>
              <w:t>5</w:t>
            </w:r>
            <w:r>
              <w:fldChar w:fldCharType="end"/>
            </w:r>
          </w:hyperlink>
        </w:p>
        <w:p>
          <w:pPr>
            <w:pStyle w:val="9"/>
            <w:tabs>
              <w:tab w:val="right" w:leader="dot" w:pos="9026"/>
            </w:tabs>
            <w:spacing w:before="120" w:after="60"/>
          </w:pPr>
          <w:hyperlink w:anchor="_Toc100009" w:history="1">
            <w:r>
              <w:rPr>
                <w:rStyle w:val="Hyperlink"/>
              </w:rPr>
              <w:t>10. T8 — the QCD contact (closed form)</w:t>
            </w:r>
            <w:r>
              <w:tab/>
            </w:r>
            <w:r>
              <w:fldChar w:fldCharType="begin"/>
            </w:r>
            <w:r>
              <w:instrText xml:space="preserve"> PAGEREF _Toc100009 \h </w:instrText>
            </w:r>
            <w:r>
              <w:fldChar w:fldCharType="separate"/>
            </w:r>
            <w:r>
              <w:t>6</w:t>
            </w:r>
            <w:r>
              <w:fldChar w:fldCharType="end"/>
            </w:r>
          </w:hyperlink>
        </w:p>
        <w:p>
          <w:pPr>
            <w:pStyle w:val="9"/>
            <w:tabs>
              <w:tab w:val="right" w:leader="dot" w:pos="9026"/>
            </w:tabs>
            <w:spacing w:before="120" w:after="60"/>
          </w:pPr>
          <w:hyperlink w:anchor="_Toc100010" w:history="1">
            <w:r>
              <w:rPr>
                <w:rStyle w:val="Hyperlink"/>
              </w:rPr>
              <w:t>11. T9 — the spectral floor (the detector)</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12. T10 — the gap-drift law (the heir)</w:t>
            </w:r>
            <w:r>
              <w:tab/>
            </w:r>
            <w:r>
              <w:fldChar w:fldCharType="begin"/>
            </w:r>
            <w:r>
              <w:instrText xml:space="preserve"> PAGEREF _Toc100011 \h </w:instrText>
            </w:r>
            <w:r>
              <w:fldChar w:fldCharType="separate"/>
            </w:r>
            <w:r>
              <w:t>7</w:t>
            </w:r>
            <w:r>
              <w:fldChar w:fldCharType="end"/>
            </w:r>
          </w:hyperlink>
        </w:p>
        <w:p>
          <w:pPr>
            <w:pStyle w:val="9"/>
            <w:tabs>
              <w:tab w:val="right" w:leader="dot" w:pos="9026"/>
            </w:tabs>
            <w:spacing w:before="120" w:after="60"/>
          </w:pPr>
          <w:hyperlink w:anchor="_Toc100012" w:history="1">
            <w:r>
              <w:rPr>
                <w:rStyle w:val="Hyperlink"/>
              </w:rPr>
              <w:t>13. T11 — the stability contrast (exact; v1.2.0)</w:t>
            </w:r>
            <w:r>
              <w:tab/>
            </w:r>
            <w:r>
              <w:fldChar w:fldCharType="begin"/>
            </w:r>
            <w:r>
              <w:instrText xml:space="preserve"> PAGEREF _Toc100012 \h </w:instrText>
            </w:r>
            <w:r>
              <w:fldChar w:fldCharType="separate"/>
            </w:r>
            <w:r>
              <w:t>8</w:t>
            </w:r>
            <w:r>
              <w:fldChar w:fldCharType="end"/>
            </w:r>
          </w:hyperlink>
        </w:p>
        <w:p>
          <w:pPr>
            <w:pStyle w:val="9"/>
            <w:tabs>
              <w:tab w:val="right" w:leader="dot" w:pos="9026"/>
            </w:tabs>
            <w:spacing w:before="120" w:after="60"/>
          </w:pPr>
          <w:hyperlink w:anchor="_Toc100013" w:history="1">
            <w:r>
              <w:rPr>
                <w:rStyle w:val="Hyperlink"/>
              </w:rPr>
              <w:t>14. T12 — the invariant wall (measured; v1.2.0)</w:t>
            </w:r>
            <w:r>
              <w:tab/>
            </w:r>
            <w:r>
              <w:fldChar w:fldCharType="begin"/>
            </w:r>
            <w:r>
              <w:instrText xml:space="preserve"> PAGEREF _Toc100013 \h </w:instrText>
            </w:r>
            <w:r>
              <w:fldChar w:fldCharType="separate"/>
            </w:r>
            <w:r>
              <w:t>9</w:t>
            </w:r>
            <w:r>
              <w:fldChar w:fldCharType="end"/>
            </w:r>
          </w:hyperlink>
        </w:p>
        <w:p>
          <w:pPr>
            <w:pStyle w:val="9"/>
            <w:tabs>
              <w:tab w:val="right" w:leader="dot" w:pos="9026"/>
            </w:tabs>
            <w:spacing w:before="120" w:after="60"/>
          </w:pPr>
          <w:hyperlink w:anchor="_Toc100014" w:history="1">
            <w:r>
              <w:rPr>
                <w:rStyle w:val="Hyperlink"/>
              </w:rPr>
              <w:t>15. T13 — the static barrier (exact; v1.2.0)</w:t>
            </w:r>
            <w:r>
              <w:tab/>
            </w:r>
            <w:r>
              <w:fldChar w:fldCharType="begin"/>
            </w:r>
            <w:r>
              <w:instrText xml:space="preserve"> PAGEREF _Toc100014 \h </w:instrText>
            </w:r>
            <w:r>
              <w:fldChar w:fldCharType="separate"/>
            </w:r>
            <w:r>
              <w:t>9</w:t>
            </w:r>
            <w:r>
              <w:fldChar w:fldCharType="end"/>
            </w:r>
          </w:hyperlink>
        </w:p>
        <w:p>
          <w:pPr>
            <w:pStyle w:val="9"/>
            <w:tabs>
              <w:tab w:val="right" w:leader="dot" w:pos="9026"/>
            </w:tabs>
            <w:spacing w:before="120" w:after="60"/>
          </w:pPr>
          <w:hyperlink w:anchor="_Toc100015" w:history="1">
            <w:r>
              <w:rPr>
                <w:rStyle w:val="Hyperlink"/>
              </w:rPr>
              <w:t>16. The verification matrix</w:t>
            </w:r>
            <w:r>
              <w:tab/>
            </w:r>
            <w:r>
              <w:fldChar w:fldCharType="begin"/>
            </w:r>
            <w:r>
              <w:instrText xml:space="preserve"> PAGEREF _Toc100015 \h </w:instrText>
            </w:r>
            <w:r>
              <w:fldChar w:fldCharType="separate"/>
            </w:r>
            <w:r>
              <w:t>11</w:t>
            </w:r>
            <w:r>
              <w:fldChar w:fldCharType="end"/>
            </w:r>
          </w:hyperlink>
        </w:p>
        <w:p>
          <w:pPr>
            <w:pStyle w:val="9"/>
            <w:tabs>
              <w:tab w:val="right" w:leader="dot" w:pos="9026"/>
            </w:tabs>
            <w:spacing w:before="120" w:after="60"/>
          </w:pPr>
          <w:hyperlink w:anchor="_Toc100016" w:history="1">
            <w:r>
              <w:rPr>
                <w:rStyle w:val="Hyperlink"/>
              </w:rPr>
              <w:t>17. The honesty register (the claims registry)</w:t>
            </w:r>
            <w:r>
              <w:tab/>
            </w:r>
            <w:r>
              <w:fldChar w:fldCharType="begin"/>
            </w:r>
            <w:r>
              <w:instrText xml:space="preserve"> PAGEREF _Toc100016 \h </w:instrText>
            </w:r>
            <w:r>
              <w:fldChar w:fldCharType="separate"/>
            </w:r>
            <w:r>
              <w:t>11</w:t>
            </w:r>
            <w:r>
              <w:fldChar w:fldCharType="end"/>
            </w:r>
          </w:hyperlink>
        </w:p>
        <w:p>
          <w:pPr>
            <w:pStyle w:val="9"/>
            <w:tabs>
              <w:tab w:val="right" w:leader="dot" w:pos="9026"/>
            </w:tabs>
            <w:spacing w:before="120" w:after="60"/>
          </w:pPr>
          <w:hyperlink w:anchor="_Toc100017" w:history="1">
            <w:r>
              <w:rPr>
                <w:rStyle w:val="Hyperlink"/>
              </w:rPr>
              <w:t>18. References</w:t>
            </w:r>
            <w:r>
              <w:tab/>
            </w:r>
            <w:r>
              <w:fldChar w:fldCharType="begin"/>
            </w:r>
            <w:r>
              <w:instrText xml:space="preserve"> PAGEREF _Toc100017 \h </w:instrText>
            </w:r>
            <w:r>
              <w:fldChar w:fldCharType="separate"/>
            </w:r>
            <w:r>
              <w:t>12</w:t>
            </w:r>
            <w:r>
              <w:fldChar w:fldCharType="end"/>
            </w:r>
          </w:hyperlink>
        </w:p>
        <w:p>
          <w:r>
            <w:fldChar w:fldCharType="end"/>
          </w:r>
        </w:p>
      </w:sdtContent>
    </w:sdt>
    <w:p>
      <w:pPr>
        <w:spacing w:before="240"/>
      </w:pPr>
      <w:r>
        <w:rPr>
          <w:rFonts w:ascii="Times New Roman" w:hAnsi="Times New Roman"/>
          <w:i/>
          <w:iCs/>
          <w:color w:val="8A8574"/>
          <w:sz w:val="18"/>
          <w:szCs w:val="18"/>
        </w:rPr>
        <w:t xml:space="preserve">Note: the table of contents is field-based. After edits, refresh the page numbers: right-click the TOC → "Update Field".</w:t>
      </w:r>
    </w:p>
    <w:p>
      <w:pPr>
        <w:sectPr>
          <w:headerReference w:type="default" r:id="rId7"/>
          <w:footerReference w:type="default" r:id="rId8"/>
          <w:type w:val="nextPage"/>
          <w:pgSz w:w="11906" w:h="16838" w:orient="portrait"/>
          <w:pgMar w:top="1300" w:right="1400" w:bottom="1300" w:left="1500" w:header="708" w:footer="708" w:gutter="0"/>
          <w:pgNumType w:start="1" w:fmt="lowerRoman"/>
          <w:docGrid w:linePitch="360"/>
        </w:sectPr>
      </w:pPr>
    </w:p>
    <w:p>
      <w:pPr>
        <w:pStyle w:val="Heading1"/>
        <w:keepNext/>
        <w:spacing w:after="160" w:before="400"/>
      </w:pPr>
      <w:bookmarkStart w:id="100000" w:name="_Toc100000"/>
      <w:r>
        <w:rPr>
          <w:rFonts w:ascii="Times New Roman" w:hAnsi="Times New Roman"/>
          <w:b/>
          <w:bCs/>
          <w:color w:val="1A1A1A"/>
          <w:sz w:val="32"/>
          <w:szCs w:val="32"/>
        </w:rPr>
        <w:t xml:space="preserve">1. The riddle and the proposal</w:t>
      </w:r>
      <w:bookmarkEnd w:id="100000"/>
    </w:p>
    <w:p>
      <w:pPr>
        <w:spacing w:after="80" w:line="312"/>
        <w:ind w:firstLine="480"/>
        <w:jc w:val="both"/>
      </w:pPr>
      <w:r>
        <w:rPr>
          <w:rFonts w:ascii="Times New Roman" w:hAnsi="Times New Roman"/>
          <w:b w:val="false"/>
          <w:bCs w:val="false"/>
          <w:color w:val="202020"/>
          <w:sz w:val="24"/>
          <w:szCs w:val="24"/>
        </w:rPr>
        <w:t xml:space="preserve">Quarks are the fundamental constituents of protons and neutrons, and they are never observed alone — only inside hadrons. The phenomenon is confinement. Quantum chromodynamics supplies overwhelming lattice evidence, but no analytic proof exists that quarks cannot live in isolation; the statement is part of the Yang-Mills mass-gap millennium problem.</w:t>
      </w:r>
    </w:p>
    <w:p>
      <w:pPr>
        <w:spacing w:after="80" w:line="312"/>
        <w:ind w:firstLine="480"/>
        <w:jc w:val="both"/>
      </w:pPr>
      <w:r>
        <w:rPr>
          <w:rFonts w:ascii="Times New Roman" w:hAnsi="Times New Roman"/>
          <w:b w:val="false"/>
          <w:bCs w:val="false"/>
          <w:color w:val="202020"/>
          <w:sz w:val="24"/>
          <w:szCs w:val="24"/>
        </w:rPr>
        <w:t xml:space="preserve">This volume fixes the theoretical layer of the Quark-Hawking Bridge package — a research program that inherited its honesty discipline from the Collapse-Hawking Bridge (CHB v2.1.0). The proposal is a four-link mechanism. H1: quark triplets are welded at maximal density — the critical-collapse regime of CHB, where the born mass tends to zero and the mean horizon density tends to the Planck density. H2: the three dynamic corrections of the septinial family — the Berry quanta and the braking quanta of the pi/2, pi/3, pi/7 sectors — are not decoration but a DRIVE: they vibrate, shift the discretized geometry and open a real spectral gap. H3: Hawking pairs leave the horizon, the weak channel violates parity (Wu et al. 1957), and a residual matter imbalance survives annihilation — the Wu door. H4: a triplet bound at maximal density cannot shed a member — the unsolved three-body problem shares energy chaotically, and the gap stands as an oscillating geometric wall: bound chaos.</w:t>
      </w:r>
    </w:p>
    <w:p>
      <w:pPr>
        <w:spacing w:after="80" w:line="312"/>
        <w:ind w:firstLine="480"/>
        <w:jc w:val="both"/>
      </w:pPr>
      <w:r>
        <w:rPr>
          <w:rFonts w:ascii="Times New Roman" w:hAnsi="Times New Roman"/>
          <w:b w:val="false"/>
          <w:bCs w:val="false"/>
          <w:color w:val="202020"/>
          <w:sz w:val="24"/>
          <w:szCs w:val="24"/>
        </w:rPr>
        <w:t xml:space="preserve">The status is fixed honestly: </w:t>
      </w:r>
      <w:r>
        <w:rPr>
          <w:rFonts w:ascii="Times New Roman" w:hAnsi="Times New Roman"/>
          <w:b/>
          <w:bCs/>
          <w:color w:val="202020"/>
          <w:sz w:val="24"/>
          <w:szCs w:val="24"/>
        </w:rPr>
        <w:t xml:space="preserve">the confinement mechanism of the package is a marked HYPOTHESIS</w:t>
      </w:r>
      <w:r>
        <w:rPr>
          <w:rFonts w:ascii="Times New Roman" w:hAnsi="Times New Roman"/>
          <w:b w:val="false"/>
          <w:bCs w:val="false"/>
          <w:color w:val="202020"/>
          <w:sz w:val="24"/>
          <w:szCs w:val="24"/>
        </w:rPr>
        <w:t xml:space="preserve">. Every theorem of this volume is a machine-checked fact about the committed toy models, not a derivation of QCD. Since v1.2.0 the proof / measurement / comparison / hypothesis separation is machine-enforced: the Evidence Engine claims registry (27 claims, five statuses, uncertainty budgets, falsification criteria) is pinned to the package build and summarised in section 17.</w:t>
      </w:r>
    </w:p>
    <w:p>
      <w:pPr>
        <w:pStyle w:val="Heading1"/>
        <w:keepNext/>
        <w:spacing w:after="160" w:before="400"/>
      </w:pPr>
      <w:bookmarkStart w:id="100001" w:name="_Toc100001"/>
      <w:r>
        <w:rPr>
          <w:rFonts w:ascii="Times New Roman" w:hAnsi="Times New Roman"/>
          <w:b/>
          <w:bCs/>
          <w:color w:val="1A1A1A"/>
          <w:sz w:val="32"/>
          <w:szCs w:val="32"/>
        </w:rPr>
        <w:t xml:space="preserve">2. Notation and units</w:t>
      </w:r>
      <w:bookmarkEnd w:id="100001"/>
    </w:p>
    <w:p>
      <w:pPr>
        <w:spacing w:after="80" w:line="312"/>
        <w:ind w:firstLine="480"/>
        <w:jc w:val="both"/>
      </w:pPr>
      <w:r>
        <w:rPr>
          <w:rFonts w:ascii="Times New Roman" w:hAnsi="Times New Roman"/>
          <w:b w:val="false"/>
          <w:bCs w:val="false"/>
          <w:color w:val="202020"/>
          <w:sz w:val="24"/>
          <w:szCs w:val="24"/>
        </w:rPr>
        <w:t xml:space="preserve">The core of the package speaks in code units: the hopping is tied to the grid step by J = 1/h², the drive base frequency is Omega_0 = 2, the drive tones are (2, 3, 7)·Omega_0, the Floquet period is T_0 = pi. The physical layer (Schwarzschild thermodynamics, the contact points) is expressed in SI through CODATA. The single source of randomness of the whole package is numpy.default_rng(20261010); re-running any campaign reproduces its verdict bit-for-bit.</w:t>
      </w:r>
    </w:p>
    <w:p>
      <w:pPr>
        <w:spacing w:after="80" w:line="312"/>
        <w:ind w:firstLine="480"/>
        <w:jc w:val="both"/>
      </w:pPr>
      <w:r>
        <w:rPr>
          <w:rFonts w:ascii="Times New Roman" w:hAnsi="Times New Roman"/>
          <w:b w:val="false"/>
          <w:bCs w:val="false"/>
          <w:color w:val="202020"/>
          <w:sz w:val="24"/>
          <w:szCs w:val="24"/>
        </w:rPr>
        <w:t xml:space="preserve">The committed G-model geometry: a Dirichlet chain of N = 64 sites carrying the parabolic well q_n = (kappa/2)x_n² − q_pk with kappa = 0.05 and q_pk = 0.4 (a shallow well with exactly two levels), the truncation length L = sqrt(8·q_pk/kappa) — the well ends where the potential ends. The vortex layer of C11 speaks in circulation code units: lengths in units of the triangle side a, time in units of a²/Gamma.</w:t>
      </w:r>
    </w:p>
    <w:p>
      <w:pPr>
        <w:pStyle w:val="Heading1"/>
        <w:keepNext/>
        <w:spacing w:after="160" w:before="400"/>
      </w:pPr>
      <w:bookmarkStart w:id="100002" w:name="_Toc100002"/>
      <w:r>
        <w:rPr>
          <w:rFonts w:ascii="Times New Roman" w:hAnsi="Times New Roman"/>
          <w:b/>
          <w:bCs/>
          <w:color w:val="1A1A1A"/>
          <w:sz w:val="32"/>
          <w:szCs w:val="32"/>
        </w:rPr>
        <w:t xml:space="preserve">3. T1 — the six correction quanta (exact)</w:t>
      </w:r>
      <w:bookmarkEnd w:id="100002"/>
    </w:p>
    <w:p>
      <w:pPr>
        <w:spacing w:after="80" w:line="312"/>
        <w:ind w:firstLine="480"/>
        <w:jc w:val="both"/>
      </w:pPr>
      <w:r>
        <w:rPr>
          <w:rFonts w:ascii="Times New Roman" w:hAnsi="Times New Roman"/>
          <w:b w:val="false"/>
          <w:bCs w:val="false"/>
          <w:color w:val="202020"/>
          <w:sz w:val="24"/>
          <w:szCs w:val="24"/>
        </w:rPr>
        <w:t xml:space="preserve">The spinor phases of the Klein-quartic family are delta_A = pi/2, delta_B = pi/3, delta_C = pi/7 (the septinial sector). The quanta follow the exact maps beta(d) = d²/2 (Berry quanta) and alpha(d) = d⁵/22 (braking quanta, k = b2(K3) = 22), inherited from the spinor_corrections block of the parent repository:</w:t>
      </w:r>
    </w:p>
    <w:p>
      <w:pPr>
        <w:spacing w:after="20" w:line="276"/>
        <w:ind w:left="720"/>
        <w:jc w:val="left"/>
      </w:pPr>
      <w:r>
        <w:rPr>
          <w:rFonts w:ascii="Times New Roman" w:hAnsi="Times New Roman"/>
          <w:color w:val="2A2A2A"/>
          <w:sz w:val="21"/>
          <w:szCs w:val="21"/>
        </w:rPr>
        <w:t xml:space="preserve">bA = pi^2/8 = 1.2337005501361697    aA = pi^5/704     = 0.43468705225182025</w:t>
      </w:r>
    </w:p>
    <w:p>
      <w:pPr>
        <w:spacing w:after="20" w:line="276"/>
        <w:ind w:left="720"/>
        <w:jc w:val="left"/>
      </w:pPr>
      <w:r>
        <w:rPr>
          <w:rFonts w:ascii="Times New Roman" w:hAnsi="Times New Roman"/>
          <w:color w:val="2A2A2A"/>
          <w:sz w:val="21"/>
          <w:szCs w:val="21"/>
        </w:rPr>
        <w:t xml:space="preserve">bB = pi^2/18 = 0.5483113556160755   aB = pi^5/5346    = 0.057242739391186152</w:t>
      </w:r>
    </w:p>
    <w:p>
      <w:pPr>
        <w:spacing w:after="20" w:line="276"/>
        <w:ind w:left="720"/>
        <w:jc w:val="left"/>
      </w:pPr>
      <w:r>
        <w:rPr>
          <w:rFonts w:ascii="Times New Roman" w:hAnsi="Times New Roman"/>
          <w:color w:val="2A2A2A"/>
          <w:sz w:val="21"/>
          <w:szCs w:val="21"/>
        </w:rPr>
        <w:t xml:space="preserve">bC = pi^2/98 = 0.10071024899070774  aC = pi^5/369754  = 0.0008276304915843546</w:t>
      </w:r>
    </w:p>
    <w:p>
      <w:pPr>
        <w:spacing w:after="60"/>
      </w:pPr>
    </w:p>
    <w:p>
      <w:pPr>
        <w:spacing w:after="80" w:line="312"/>
        <w:ind w:firstLine="480"/>
        <w:jc w:val="both"/>
      </w:pPr>
      <w:r>
        <w:rPr>
          <w:rFonts w:ascii="Times New Roman" w:hAnsi="Times New Roman"/>
          <w:b w:val="false"/>
          <w:bCs w:val="false"/>
          <w:color w:val="202020"/>
          <w:sz w:val="24"/>
          <w:szCs w:val="24"/>
        </w:rPr>
        <w:t xml:space="preserve">Status: exact identities; the 50-digit layer reproduces all six to a relative deviation of at most 7.8e-17 (qhb.validate, check 1; IVP04 — the independent derivation). In this package the six are the drive: the Berry quanta modulate the geometry transversally, the braking quanta longitudinally.</w:t>
      </w:r>
    </w:p>
    <w:p>
      <w:pPr>
        <w:pStyle w:val="Heading1"/>
        <w:keepNext/>
        <w:spacing w:after="160" w:before="400"/>
      </w:pPr>
      <w:bookmarkStart w:id="100003" w:name="_Toc100003"/>
      <w:r>
        <w:rPr>
          <w:rFonts w:ascii="Times New Roman" w:hAnsi="Times New Roman"/>
          <w:b/>
          <w:bCs/>
          <w:color w:val="1A1A1A"/>
          <w:sz w:val="32"/>
          <w:szCs w:val="32"/>
        </w:rPr>
        <w:t xml:space="preserve">4. T2 — the selection rules (exact + machine)</w:t>
      </w:r>
      <w:bookmarkEnd w:id="100003"/>
    </w:p>
    <w:p>
      <w:pPr>
        <w:pBdr>
          <w:left w:val="single" w:color="C9A84C" w:sz="24" w:space="12"/>
        </w:pBdr>
        <w:shd w:fill="F5F2E8" w:val="clear"/>
        <w:spacing w:after="120" w:before="120" w:line="312"/>
        <w:ind w:left="360" w:right="360"/>
        <w:jc w:val="both"/>
      </w:pPr>
      <w:r>
        <w:rPr>
          <w:rFonts w:ascii="Times New Roman" w:hAnsi="Times New Roman"/>
          <w:b/>
          <w:bCs/>
          <w:color w:val="1A1A1A"/>
          <w:sz w:val="24"/>
          <w:szCs w:val="24"/>
        </w:rPr>
        <w:t xml:space="preserve">Statement T2.1 (exact).  </w:t>
      </w:r>
      <w:r>
        <w:rPr>
          <w:rFonts w:ascii="Times New Roman" w:hAnsi="Times New Roman"/>
          <w:b w:val="false"/>
          <w:bCs w:val="false"/>
          <w:color w:val="202020"/>
          <w:sz w:val="24"/>
          <w:szCs w:val="24"/>
        </w:rPr>
        <w:t xml:space="preserve">The gap is strictly even under the global Berry flip b → −b: U(−b, a) = sigma_z U(b, a) sigma_z, the eigenphases coincide. Machine check: deviation exactly 0.0. Campaign C10 (v1.2.0) generalises the rule: the evenness holds on EVERY configuration with a nonempty transverse part — all seven checks return machine zeros.</w:t>
      </w:r>
    </w:p>
    <w:p>
      <w:pPr>
        <w:pBdr>
          <w:left w:val="single" w:color="C9A84C" w:sz="24" w:space="12"/>
        </w:pBdr>
        <w:shd w:fill="F5F2E8" w:val="clear"/>
        <w:spacing w:after="120" w:before="120" w:line="312"/>
        <w:ind w:left="360" w:right="360"/>
        <w:jc w:val="both"/>
      </w:pPr>
      <w:r>
        <w:rPr>
          <w:rFonts w:ascii="Times New Roman" w:hAnsi="Times New Roman"/>
          <w:b/>
          <w:bCs/>
          <w:color w:val="1A1A1A"/>
          <w:sz w:val="24"/>
          <w:szCs w:val="24"/>
        </w:rPr>
        <w:t xml:space="preserve">Statement T2.2 (exact).  </w:t>
      </w:r>
      <w:r>
        <w:rPr>
          <w:rFonts w:ascii="Times New Roman" w:hAnsi="Times New Roman"/>
          <w:b w:val="false"/>
          <w:bCs w:val="false"/>
          <w:color w:val="202020"/>
          <w:sz w:val="24"/>
          <w:szCs w:val="24"/>
        </w:rPr>
        <w:t xml:space="preserve">A purely longitudinal drive (v = 0, braking only) is invisible to the gap at all orders: over the integer tones the cosine integral vanishes and U equals the unperturbed one. Machine check: deviation 8.9e-16 (machine zero); C10 confirms the zero response at doubled Floquet resolution (IVP10). Physical reading: braking without vibration opens nothing — the braking quanta act only jointly with the Berry drive, through the Magnus commutator [w·sigma_z, v·sigma_x].</w:t>
      </w:r>
    </w:p>
    <w:p>
      <w:pPr>
        <w:pBdr>
          <w:left w:val="single" w:color="C9A84C" w:sz="24" w:space="12"/>
        </w:pBdr>
        <w:shd w:fill="F5F2E8" w:val="clear"/>
        <w:spacing w:after="120" w:before="120" w:line="312"/>
        <w:ind w:left="360" w:right="360"/>
        <w:jc w:val="both"/>
      </w:pPr>
      <w:r>
        <w:rPr>
          <w:rFonts w:ascii="Times New Roman" w:hAnsi="Times New Roman"/>
          <w:b/>
          <w:bCs/>
          <w:color w:val="1A1A1A"/>
          <w:sz w:val="24"/>
          <w:szCs w:val="24"/>
        </w:rPr>
        <w:t xml:space="preserve">Statement T2.3 (data, not smoothed).  </w:t>
      </w:r>
      <w:r>
        <w:rPr>
          <w:rFonts w:ascii="Times New Roman" w:hAnsi="Times New Roman"/>
          <w:b w:val="false"/>
          <w:bCs w:val="false"/>
          <w:color w:val="202020"/>
          <w:sz w:val="24"/>
          <w:szCs w:val="24"/>
        </w:rPr>
        <w:t xml:space="preserve">Flipping a alone is not an exact symmetry: the residual 1.5e-6 at beta = 0.4 is the genuine odd-in-a second-order component (the a·b cross terms). It is carried in the verdict as data.</w:t>
      </w:r>
    </w:p>
    <w:p>
      <w:pPr>
        <w:keepNext/>
        <w:spacing w:after="80" w:before="160"/>
      </w:pPr>
      <w:r>
        <w:rPr>
          <w:rFonts w:ascii="Times New Roman" w:hAnsi="Times New Roman"/>
          <w:b/>
          <w:bCs/>
          <w:color w:val="6B6455"/>
          <w:sz w:val="21"/>
          <w:szCs w:val="21"/>
        </w:rPr>
        <w:t xml:space="preserve">Table T2 — the machine checks of the selection rules (c1_verdict.json, c10_verdict.json)</w:t>
      </w:r>
    </w:p>
    <w:tbl>
      <w:tblPr>
        <w:tblW w:type="pct" w:w="100%"/>
        <w:tblBorders>
          <w:top w:val="single" w:color="DDD5C0" w:sz="4"/>
          <w:left w:val="single" w:color="DDD5C0" w:sz="4"/>
          <w:bottom w:val="single" w:color="DDD5C0" w:sz="4"/>
          <w:right w:val="single" w:color="DDD5C0" w:sz="4"/>
          <w:insideH w:val="single" w:color="DDD5C0" w:sz="4"/>
          <w:insideV w:val="single" w:color="DDD5C0" w:sz="4"/>
        </w:tblBorders>
        <w:tblLayout w:type="fixed"/>
      </w:tblPr>
      <w:tblGrid>
        <w:gridCol w:w="100"/>
        <w:gridCol w:w="100"/>
        <w:gridCol w:w="100"/>
      </w:tblGrid>
      <w:tr>
        <w:trPr>
          <w:cantSplit/>
          <w:tblHeader/>
        </w:trPr>
        <w:tc>
          <w:tcPr>
            <w:tcW w:type="dxa" w:w="36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check</w:t>
            </w:r>
          </w:p>
        </w:tc>
        <w:tc>
          <w:tcPr>
            <w:tcW w:type="dxa" w:w="19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deviation</w:t>
            </w:r>
          </w:p>
        </w:tc>
        <w:tc>
          <w:tcPr>
            <w:tcW w:type="dxa" w:w="24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status</w:t>
            </w:r>
          </w:p>
        </w:tc>
      </w:tr>
      <w:tr>
        <w:trPr>
          <w:cantSplit/>
        </w:trPr>
        <w:tc>
          <w:tcPr>
            <w:tcW w:type="dxa" w:w="36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b → −b (global)</w:t>
            </w:r>
          </w:p>
        </w:tc>
        <w:tc>
          <w:tcPr>
            <w:tcW w:type="dxa" w:w="19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0.0</w:t>
            </w:r>
          </w:p>
        </w:tc>
        <w:tc>
          <w:tcPr>
            <w:tcW w:type="dxa" w:w="2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exact</w:t>
            </w:r>
          </w:p>
        </w:tc>
      </w:tr>
      <w:tr>
        <w:trPr>
          <w:cantSplit/>
        </w:trPr>
        <w:tc>
          <w:tcPr>
            <w:tcW w:type="dxa" w:w="36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a-only, all orders</w:t>
            </w:r>
          </w:p>
        </w:tc>
        <w:tc>
          <w:tcPr>
            <w:tcW w:type="dxa" w:w="19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8.9e-16</w:t>
            </w:r>
          </w:p>
        </w:tc>
        <w:tc>
          <w:tcPr>
            <w:tcW w:type="dxa" w:w="2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machine zero</w:t>
            </w:r>
          </w:p>
        </w:tc>
      </w:tr>
      <w:tr>
        <w:trPr>
          <w:cantSplit/>
        </w:trPr>
        <w:tc>
          <w:tcPr>
            <w:tcW w:type="dxa" w:w="36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a → −a (with v ≠ 0)</w:t>
            </w:r>
          </w:p>
        </w:tc>
        <w:tc>
          <w:tcPr>
            <w:tcW w:type="dxa" w:w="19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1.5e-6</w:t>
            </w:r>
          </w:p>
        </w:tc>
        <w:tc>
          <w:tcPr>
            <w:tcW w:type="dxa" w:w="2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data (ab-cross)</w:t>
            </w:r>
          </w:p>
        </w:tc>
      </w:tr>
      <w:tr>
        <w:trPr>
          <w:cantSplit/>
        </w:trPr>
        <w:tc>
          <w:tcPr>
            <w:tcW w:type="dxa" w:w="36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b = 0 identity</w:t>
            </w:r>
          </w:p>
        </w:tc>
        <w:tc>
          <w:tcPr>
            <w:tcW w:type="dxa" w:w="19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0.0</w:t>
            </w:r>
          </w:p>
        </w:tc>
        <w:tc>
          <w:tcPr>
            <w:tcW w:type="dxa" w:w="2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exact</w:t>
            </w:r>
          </w:p>
        </w:tc>
      </w:tr>
      <w:tr>
        <w:trPr>
          <w:cantSplit/>
        </w:trPr>
        <w:tc>
          <w:tcPr>
            <w:tcW w:type="dxa" w:w="36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b → −b on all 7 transverse configs (C10)</w:t>
            </w:r>
          </w:p>
        </w:tc>
        <w:tc>
          <w:tcPr>
            <w:tcW w:type="dxa" w:w="19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0.0</w:t>
            </w:r>
          </w:p>
        </w:tc>
        <w:tc>
          <w:tcPr>
            <w:tcW w:type="dxa" w:w="2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exact</w:t>
            </w:r>
          </w:p>
        </w:tc>
      </w:tr>
    </w:tbl>
    <w:p>
      <w:pPr>
        <w:pStyle w:val="Heading1"/>
        <w:keepNext/>
        <w:spacing w:after="160" w:before="400"/>
      </w:pPr>
      <w:bookmarkStart w:id="100004" w:name="_Toc100004"/>
      <w:r>
        <w:rPr>
          <w:rFonts w:ascii="Times New Roman" w:hAnsi="Times New Roman"/>
          <w:b/>
          <w:bCs/>
          <w:color w:val="1A1A1A"/>
          <w:sz w:val="32"/>
          <w:szCs w:val="32"/>
        </w:rPr>
        <w:t xml:space="preserve">5. T3 — the gap law (window [0, 0.2])</w:t>
      </w:r>
      <w:bookmarkEnd w:id="100004"/>
    </w:p>
    <w:p>
      <w:pPr>
        <w:pBdr>
          <w:left w:val="single" w:color="C9A84C" w:sz="24" w:space="12"/>
        </w:pBdr>
        <w:shd w:fill="F5F2E8" w:val="clear"/>
        <w:spacing w:after="120" w:before="120" w:line="312"/>
        <w:ind w:left="360" w:right="360"/>
        <w:jc w:val="both"/>
      </w:pPr>
      <w:r>
        <w:rPr>
          <w:rFonts w:ascii="Times New Roman" w:hAnsi="Times New Roman"/>
          <w:b/>
          <w:bCs/>
          <w:color w:val="1A1A1A"/>
          <w:sz w:val="24"/>
          <w:szCs w:val="24"/>
        </w:rPr>
        <w:t xml:space="preserve">Statement T3.  </w:t>
      </w:r>
      <w:r>
        <w:rPr>
          <w:rFonts w:ascii="Times New Roman" w:hAnsi="Times New Roman"/>
          <w:b w:val="false"/>
          <w:bCs w:val="false"/>
          <w:color w:val="202020"/>
          <w:sz w:val="24"/>
          <w:szCs w:val="24"/>
        </w:rPr>
        <w:t xml:space="preserve">On the committed window beta in [0, 0.2] (21 points) the Floquet gap obeys the quadratic law Delta_F = Delta_0 + B2·beta^2 with the committed coefficients:</w:t>
      </w:r>
    </w:p>
    <w:p>
      <w:pPr>
        <w:spacing w:after="20" w:line="276"/>
        <w:ind w:left="720"/>
        <w:jc w:val="left"/>
      </w:pPr>
      <w:r>
        <w:rPr>
          <w:rFonts w:ascii="Times New Roman" w:hAnsi="Times New Roman"/>
          <w:color w:val="2A2A2A"/>
          <w:sz w:val="21"/>
          <w:szCs w:val="21"/>
        </w:rPr>
        <w:t xml:space="preserve">Delta_0 = 0.523004556028     B2 = -5.49670294e-2     r^2 = 0.99999982</w:t>
      </w:r>
    </w:p>
    <w:p>
      <w:pPr>
        <w:spacing w:after="20" w:line="276"/>
        <w:ind w:left="720"/>
        <w:jc w:val="left"/>
      </w:pPr>
      <w:r>
        <w:rPr>
          <w:rFonts w:ascii="Times New Roman" w:hAnsi="Times New Roman"/>
          <w:color w:val="2A2A2A"/>
          <w:sz w:val="21"/>
          <w:szCs w:val="21"/>
        </w:rPr>
        <w:t xml:space="preserve">max|residual| = 4.7e-7</w:t>
      </w:r>
    </w:p>
    <w:p>
      <w:pPr>
        <w:spacing w:after="60"/>
      </w:pPr>
    </w:p>
    <w:p>
      <w:pPr>
        <w:spacing w:after="80" w:line="312"/>
        <w:ind w:firstLine="480"/>
        <w:jc w:val="both"/>
      </w:pPr>
      <w:r>
        <w:rPr>
          <w:rFonts w:ascii="Times New Roman" w:hAnsi="Times New Roman"/>
          <w:b w:val="false"/>
          <w:bCs w:val="false"/>
          <w:color w:val="202020"/>
          <w:sz w:val="24"/>
          <w:szCs w:val="24"/>
        </w:rPr>
        <w:t xml:space="preserve">The sign B2 &lt; 0: the drive CLOSES the gap — the dynamic corrections shift the geometry, exactly as the hypothesis proposes. The sector structure of the septinial family is visible in the response: |B2_A(pi/2)| = 5.05483488e-2, |B2_B(pi/3)| = 4.40077100e-3, |B2_C(pi/7)| = 2.71009207e-5 — the hierarchy of roughly 1865 : 1. Beyond the window the response becomes quartic-dominated; the wing [0.25, 0.8] is carried unfitted (the honest pre-asymptotic story). The cross-term share between the sectors is 1.3e-4: the tones are separated, and on the committed window the trio acts as one dynamic object with one coefficient. The causal map of C10 (section 15) confirms the additivity and the hierarchy by the factorial ablation.</w:t>
      </w:r>
    </w:p>
    <w:p>
      <w:pPr>
        <w:pStyle w:val="Heading1"/>
        <w:keepNext/>
        <w:spacing w:after="160" w:before="400"/>
      </w:pPr>
      <w:bookmarkStart w:id="100005" w:name="_Toc100005"/>
      <w:r>
        <w:rPr>
          <w:rFonts w:ascii="Times New Roman" w:hAnsi="Times New Roman"/>
          <w:b/>
          <w:bCs/>
          <w:color w:val="1A1A1A"/>
          <w:sz w:val="32"/>
          <w:szCs w:val="32"/>
        </w:rPr>
        <w:t xml:space="preserve">6. T4 — the Gascheau criterion (exact negative)</w:t>
      </w:r>
      <w:bookmarkEnd w:id="100005"/>
    </w:p>
    <w:p>
      <w:pPr>
        <w:pBdr>
          <w:left w:val="single" w:color="C9A84C" w:sz="24" w:space="12"/>
        </w:pBdr>
        <w:shd w:fill="F5F2E8" w:val="clear"/>
        <w:spacing w:after="120" w:before="120" w:line="312"/>
        <w:ind w:left="360" w:right="360"/>
        <w:jc w:val="both"/>
      </w:pPr>
      <w:r>
        <w:rPr>
          <w:rFonts w:ascii="Times New Roman" w:hAnsi="Times New Roman"/>
          <w:b/>
          <w:bCs/>
          <w:color w:val="1A1A1A"/>
          <w:sz w:val="24"/>
          <w:szCs w:val="24"/>
        </w:rPr>
        <w:t xml:space="preserve">Statement T4 (classical, exact).  </w:t>
      </w:r>
      <w:r>
        <w:rPr>
          <w:rFonts w:ascii="Times New Roman" w:hAnsi="Times New Roman"/>
          <w:b w:val="false"/>
          <w:bCs w:val="false"/>
          <w:color w:val="202020"/>
          <w:sz w:val="24"/>
          <w:szCs w:val="24"/>
        </w:rPr>
        <w:t xml:space="preserve">The equilateral Lagrange solution of the three-body problem is linearly UNSTABLE for equal masses. The Gascheau (1843) criterion: stability requires nu = (m1m2 + m2m3 + m3m1)/(sum m)² &lt; 1/27, while equal masses give nu = 1/3. The characteristic equation lambda^4 + lambda^2 + (27/4)nu = 0 has complex roots with the growth rate sqrt(3/2) ≈ 1.2247 per mean motion.</w:t>
      </w:r>
    </w:p>
    <w:p>
      <w:pPr>
        <w:spacing w:after="80" w:line="312"/>
        <w:ind w:firstLine="480"/>
        <w:jc w:val="both"/>
      </w:pPr>
      <w:r>
        <w:rPr>
          <w:rFonts w:ascii="Times New Roman" w:hAnsi="Times New Roman"/>
          <w:b w:val="false"/>
          <w:bCs w:val="false"/>
          <w:color w:val="202020"/>
          <w:sz w:val="24"/>
          <w:szCs w:val="24"/>
        </w:rPr>
        <w:t xml:space="preserve">Symbolic verification (IVP06, SymPy): the stability condition 1 − 27nu ≥ 0 is checked in exact rationals; for nu = 1/3 one gets 1 − 9 &lt; 0. Status: UNSTABLE — exact. Physical reading: no static rigid triangle exists; the naive picture of three quarks rigidly sitting at the vertices dies on this exact negative. Rigidity, if any, must come from outside — from the dynamic wall of T6, from the invariants of T12, or from the interaction structure itself (T11).</w:t>
      </w:r>
    </w:p>
    <w:p>
      <w:pPr>
        <w:pStyle w:val="Heading1"/>
        <w:keepNext/>
        <w:spacing w:after="160" w:before="400"/>
      </w:pPr>
      <w:bookmarkStart w:id="100006" w:name="_Toc100006"/>
      <w:r>
        <w:rPr>
          <w:rFonts w:ascii="Times New Roman" w:hAnsi="Times New Roman"/>
          <w:b/>
          <w:bCs/>
          <w:color w:val="1A1A1A"/>
          <w:sz w:val="32"/>
          <w:szCs w:val="32"/>
        </w:rPr>
        <w:t xml:space="preserve">7. T5 — the free trio unbinds (negative)</w:t>
      </w:r>
      <w:bookmarkEnd w:id="100006"/>
    </w:p>
    <w:p>
      <w:pPr>
        <w:pBdr>
          <w:left w:val="single" w:color="C9A84C" w:sz="24" w:space="12"/>
        </w:pBdr>
        <w:shd w:fill="F5F2E8" w:val="clear"/>
        <w:spacing w:after="120" w:before="120" w:line="312"/>
        <w:ind w:left="360" w:right="360"/>
        <w:jc w:val="both"/>
      </w:pPr>
      <w:r>
        <w:rPr>
          <w:rFonts w:ascii="Times New Roman" w:hAnsi="Times New Roman"/>
          <w:b/>
          <w:bCs/>
          <w:color w:val="1A1A1A"/>
          <w:sz w:val="24"/>
          <w:szCs w:val="24"/>
        </w:rPr>
        <w:t xml:space="preserve">Statement T5 (negative, measured).  </w:t>
      </w:r>
      <w:r>
        <w:rPr>
          <w:rFonts w:ascii="Times New Roman" w:hAnsi="Times New Roman"/>
          <w:b w:val="false"/>
          <w:bCs w:val="false"/>
          <w:color w:val="202020"/>
          <w:sz w:val="24"/>
          <w:szCs w:val="24"/>
        </w:rPr>
        <w:t xml:space="preserve">On the committed weakly-bound ensemble (E in [−0.6, −0.05), N = 300, seed 20261010) the Newtonian trio without the wall unbinds: P_esc = 0.2433 ± 0.0248. Static gravity does not confine. At packaging 18187 draws were rejected (honest bookkeeping); the survivor energy drift is 2.0e-5 (relative, on the wall-free runs).</w:t>
      </w:r>
    </w:p>
    <w:p>
      <w:pPr>
        <w:spacing w:after="80" w:line="312"/>
        <w:ind w:firstLine="480"/>
        <w:jc w:val="both"/>
      </w:pPr>
      <w:r>
        <w:rPr>
          <w:rFonts w:ascii="Times New Roman" w:hAnsi="Times New Roman"/>
          <w:b w:val="false"/>
          <w:bCs w:val="false"/>
          <w:color w:val="202020"/>
          <w:sz w:val="24"/>
          <w:szCs w:val="24"/>
        </w:rPr>
        <w:t xml:space="preserve">This negative is one half of the mechanism. Without the wall the chaos of the three-body problem CHANNELS energy into escape: a quarter of the weakly-bound trios lose a member within the committed time. Confinement needs the second ingredient — the gap of T3 standing as a wall. The exact stratification introduced in v1.2.0 (T13, section 15) now separates three regimes: exact impossibility, non-observation on the horizon, and finite-time sealing.</w:t>
      </w:r>
    </w:p>
    <w:p>
      <w:pPr>
        <w:pStyle w:val="Heading1"/>
        <w:keepNext/>
        <w:spacing w:after="160" w:before="400"/>
      </w:pPr>
      <w:bookmarkStart w:id="100007" w:name="_Toc100007"/>
      <w:r>
        <w:rPr>
          <w:rFonts w:ascii="Times New Roman" w:hAnsi="Times New Roman"/>
          <w:b/>
          <w:bCs/>
          <w:color w:val="1A1A1A"/>
          <w:sz w:val="32"/>
          <w:szCs w:val="32"/>
        </w:rPr>
        <w:t xml:space="preserve">8. T6 — the wall seals; bound chaos</w:t>
      </w:r>
      <w:bookmarkEnd w:id="100007"/>
    </w:p>
    <w:p>
      <w:pPr>
        <w:pBdr>
          <w:left w:val="single" w:color="C9A84C" w:sz="24" w:space="12"/>
        </w:pBdr>
        <w:shd w:fill="F5F2E8" w:val="clear"/>
        <w:spacing w:after="120" w:before="120" w:line="312"/>
        <w:ind w:left="360" w:right="360"/>
        <w:jc w:val="both"/>
      </w:pPr>
      <w:r>
        <w:rPr>
          <w:rFonts w:ascii="Times New Roman" w:hAnsi="Times New Roman"/>
          <w:b/>
          <w:bCs/>
          <w:color w:val="1A1A1A"/>
          <w:sz w:val="24"/>
          <w:szCs w:val="24"/>
        </w:rPr>
        <w:t xml:space="preserve">Statement T6 (law, measured).  </w:t>
      </w:r>
      <w:r>
        <w:rPr>
          <w:rFonts w:ascii="Times New Roman" w:hAnsi="Times New Roman"/>
          <w:b w:val="false"/>
          <w:bCs w:val="false"/>
          <w:color w:val="202020"/>
          <w:sz w:val="24"/>
          <w:szCs w:val="24"/>
        </w:rPr>
        <w:t xml:space="preserve">The oscillating geometric wall U(r, t) = V0·(1 + cos(Omega·t))·max(0, (r − R_b)/w)² with R_b = 8, w = 1, p = 2 standing at the committed gap scale seals the system: at every committed V0 ≥ 0.4 cell all 36 grid cells (V0 × Omega, Omega in {0, 1, 2, 4}) give P_esc &lt; 1e-4. The P_esc = 1/e boundary lies between the first non-zero cell and zero for every Omega.</w:t>
      </w:r>
    </w:p>
    <w:p>
      <w:pPr>
        <w:spacing w:after="80" w:line="312"/>
        <w:ind w:firstLine="480"/>
        <w:jc w:val="both"/>
      </w:pPr>
      <w:r>
        <w:rPr>
          <w:rFonts w:ascii="Times New Roman" w:hAnsi="Times New Roman"/>
          <w:b w:val="false"/>
          <w:bCs w:val="false"/>
          <w:color w:val="202020"/>
          <w:sz w:val="24"/>
          <w:szCs w:val="24"/>
        </w:rPr>
        <w:t xml:space="preserve">The key diagnostic is the Benettin Lyapunov exponents: free median 0.2615, trapped 0.2885. Both positive and comparable: the wall does not change the chaos — it changes the EXIT. The dynamics inside stays chaotic (the unsolvability of the three-body problem has not gone anywhere), but the energy cannot collect into an escape channel against the oscillating wall. Bound chaos is the committed confinement picture of the toy model. Honest caveats: the softening eps² = 1e-2 is a committed regularization (the observables are escape statistics, not microdynamics); for V0 &gt; 0 the wall does work and the energy-drift metric is not a quality metric; since v1.2.0 the sealing statement carries the exact T13 stratification — the static seal is exact, the oscillating one is finite-time.</w:t>
      </w:r>
    </w:p>
    <w:p>
      <w:pPr>
        <w:pStyle w:val="Heading1"/>
        <w:keepNext/>
        <w:spacing w:after="160" w:before="400"/>
      </w:pPr>
      <w:bookmarkStart w:id="100008" w:name="_Toc100008"/>
      <w:r>
        <w:rPr>
          <w:rFonts w:ascii="Times New Roman" w:hAnsi="Times New Roman"/>
          <w:b/>
          <w:bCs/>
          <w:color w:val="1A1A1A"/>
          <w:sz w:val="32"/>
          <w:szCs w:val="32"/>
        </w:rPr>
        <w:t xml:space="preserve">9. T7 — the Wu door (closed form)</w:t>
      </w:r>
      <w:bookmarkEnd w:id="100008"/>
    </w:p>
    <w:p>
      <w:pPr>
        <w:pBdr>
          <w:left w:val="single" w:color="C9A84C" w:sz="24" w:space="12"/>
        </w:pBdr>
        <w:shd w:fill="F5F2E8" w:val="clear"/>
        <w:spacing w:after="120" w:before="120" w:line="312"/>
        <w:ind w:left="360" w:right="360"/>
        <w:jc w:val="both"/>
      </w:pPr>
      <w:r>
        <w:rPr>
          <w:rFonts w:ascii="Times New Roman" w:hAnsi="Times New Roman"/>
          <w:b/>
          <w:bCs/>
          <w:color w:val="1A1A1A"/>
          <w:sz w:val="24"/>
          <w:szCs w:val="24"/>
        </w:rPr>
        <w:t xml:space="preserve">Statement T7 (exact in the toy model).  </w:t>
      </w:r>
      <w:r>
        <w:rPr>
          <w:rFonts w:ascii="Times New Roman" w:hAnsi="Times New Roman"/>
          <w:b w:val="false"/>
          <w:bCs w:val="false"/>
          <w:color w:val="202020"/>
          <w:sz w:val="24"/>
          <w:szCs w:val="24"/>
        </w:rPr>
        <w:t xml:space="preserve">The linear two-rate model: two species born at the Hawking rate Gamma_b, annihilating at Gamma(1 −/+ alpha), freeze-out at t_f = 1/H, x = Gamma/H. The residual imbalance is an exact rational function:</w:t>
      </w:r>
    </w:p>
    <w:p>
      <w:pPr>
        <w:spacing w:after="20" w:line="276"/>
        <w:ind w:left="720"/>
        <w:jc w:val="left"/>
      </w:pPr>
      <w:r>
        <w:rPr>
          <w:rFonts w:ascii="Times New Roman" w:hAnsi="Times New Roman"/>
          <w:color w:val="2A2A2A"/>
          <w:sz w:val="21"/>
          <w:szCs w:val="21"/>
        </w:rPr>
        <w:t xml:space="preserve">f(u) = (1 - e^{-x u})/u</w:t>
      </w:r>
    </w:p>
    <w:p>
      <w:pPr>
        <w:spacing w:after="20" w:line="276"/>
        <w:ind w:left="720"/>
        <w:jc w:val="left"/>
      </w:pPr>
      <w:r>
        <w:rPr>
          <w:rFonts w:ascii="Times New Roman" w:hAnsi="Times New Roman"/>
          <w:color w:val="2A2A2A"/>
          <w:sz w:val="21"/>
          <w:szCs w:val="21"/>
        </w:rPr>
        <w:t xml:space="preserve">r(alpha, x) = [f(1-alpha) - f(1+alpha)] / [f(1-alpha) + f(1+alpha)]</w:t>
      </w:r>
    </w:p>
    <w:p>
      <w:pPr>
        <w:spacing w:after="60"/>
      </w:pPr>
    </w:p>
    <w:p>
      <w:pPr>
        <w:spacing w:after="80" w:line="312"/>
        <w:ind w:firstLine="480"/>
        <w:jc w:val="both"/>
      </w:pPr>
      <w:r>
        <w:rPr>
          <w:rFonts w:ascii="Times New Roman" w:hAnsi="Times New Roman"/>
          <w:b w:val="false"/>
          <w:bCs w:val="false"/>
          <w:color w:val="202020"/>
          <w:sz w:val="24"/>
          <w:szCs w:val="24"/>
        </w:rPr>
        <w:t xml:space="preserve">Limits (the 50-digit layer): r(0, x) = 0; r(alpha, inf) = alpha; r(alpha, 0) = 0. The seeded stochastic realisation (Poisson births, thinned survival; 200,000 realisations per cell, 30 cells) agrees with the formula. At the Wu anchor (alpha = 0.9 — an approximate literature anchor, marked) and x = 100: r = 0.899996 — the door opens almost fully.</w:t>
      </w:r>
    </w:p>
    <w:p>
      <w:pPr>
        <w:spacing w:after="80" w:line="312"/>
        <w:ind w:firstLine="480"/>
        <w:jc w:val="both"/>
      </w:pPr>
      <w:r>
        <w:rPr>
          <w:rFonts w:ascii="Times New Roman" w:hAnsi="Times New Roman"/>
          <w:b w:val="false"/>
          <w:bCs w:val="false"/>
          <w:color w:val="202020"/>
          <w:sz w:val="24"/>
          <w:szCs w:val="24"/>
        </w:rPr>
        <w:t xml:space="preserve">The honest scale. To leave only the observed baryon-to-photon ratio eta = 6.1e-10 the freeze-out must sit at x = 1.36e-9 — practically immediately after the door opens. The model realises the Sakharov ingredients qualitatively (CP violation — the alpha channel; departure from equilibrium — the Hawking flux and the freeze-out), but NOT baryogenesis: the baryon number is conserved in the toy. The door is a door.</w:t>
      </w:r>
    </w:p>
    <w:p>
      <w:pPr>
        <w:pStyle w:val="Heading1"/>
        <w:keepNext/>
        <w:spacing w:after="160" w:before="400"/>
      </w:pPr>
      <w:bookmarkStart w:id="100009" w:name="_Toc100009"/>
      <w:r>
        <w:rPr>
          <w:rFonts w:ascii="Times New Roman" w:hAnsi="Times New Roman"/>
          <w:b/>
          <w:bCs/>
          <w:color w:val="1A1A1A"/>
          <w:sz w:val="32"/>
          <w:szCs w:val="32"/>
        </w:rPr>
        <w:t xml:space="preserve">10. T8 — the QCD contact (closed form)</w:t>
      </w:r>
      <w:bookmarkEnd w:id="100009"/>
    </w:p>
    <w:p>
      <w:pPr>
        <w:pBdr>
          <w:left w:val="single" w:color="C9A84C" w:sz="24" w:space="12"/>
        </w:pBdr>
        <w:shd w:fill="F5F2E8" w:val="clear"/>
        <w:spacing w:after="120" w:before="120" w:line="312"/>
        <w:ind w:left="360" w:right="360"/>
        <w:jc w:val="both"/>
      </w:pPr>
      <w:r>
        <w:rPr>
          <w:rFonts w:ascii="Times New Roman" w:hAnsi="Times New Roman"/>
          <w:b/>
          <w:bCs/>
          <w:color w:val="1A1A1A"/>
          <w:sz w:val="24"/>
          <w:szCs w:val="24"/>
        </w:rPr>
        <w:t xml:space="preserve">Statement T8 (exact arithmetic on the anchors).  </w:t>
      </w:r>
      <w:r>
        <w:rPr>
          <w:rFonts w:ascii="Times New Roman" w:hAnsi="Times New Roman"/>
          <w:b w:val="false"/>
          <w:bCs w:val="false"/>
          <w:color w:val="202020"/>
          <w:sz w:val="24"/>
          <w:szCs w:val="24"/>
        </w:rPr>
        <w:t xml:space="preserve">The mass of the black hole whose Hawking temperature equals the lattice-QCD deconfinement temperature of 155.16 MeV:</w:t>
      </w:r>
    </w:p>
    <w:p>
      <w:pPr>
        <w:spacing w:after="20" w:line="276"/>
        <w:ind w:left="720"/>
        <w:jc w:val="left"/>
      </w:pPr>
      <w:r>
        <w:rPr>
          <w:rFonts w:ascii="Times New Roman" w:hAnsi="Times New Roman"/>
          <w:color w:val="2A2A2A"/>
          <w:sz w:val="21"/>
          <w:szCs w:val="21"/>
        </w:rPr>
        <w:t xml:space="preserve">M_QCD = hbar c^3 / (8 pi G kB T_QCD) = 6.814006e10 kg</w:t>
      </w:r>
    </w:p>
    <w:p>
      <w:pPr>
        <w:spacing w:after="60"/>
      </w:pPr>
    </w:p>
    <w:p>
      <w:pPr>
        <w:spacing w:after="80" w:line="312"/>
        <w:ind w:firstLine="480"/>
        <w:jc w:val="both"/>
      </w:pPr>
      <w:r>
        <w:rPr>
          <w:rFonts w:ascii="Times New Roman" w:hAnsi="Times New Roman"/>
          <w:b w:val="false"/>
          <w:bCs w:val="false"/>
          <w:color w:val="202020"/>
          <w:sz w:val="24"/>
          <w:szCs w:val="24"/>
        </w:rPr>
        <w:t xml:space="preserve">Literature comparison: the primordial holes of the QCD epoch are ~1e11 kg — the same order (ratio 0.68), a comparison only, no derivation — the 0.67%-gap honesty of CHB. The second contact is inherited: T_H(M) = T_CMB gives 4.5016e22 kg. The bridge master table carries both points: T_H/T_QCD and T_H/T_CMB in each of the 15 rows (3 members of the inherited f~ ensemble × 5 input scales).</w:t>
      </w:r>
    </w:p>
    <w:p>
      <w:pPr>
        <w:pStyle w:val="Heading1"/>
        <w:keepNext/>
        <w:spacing w:after="160" w:before="400"/>
      </w:pPr>
      <w:bookmarkStart w:id="100010" w:name="_Toc100010"/>
      <w:r>
        <w:rPr>
          <w:rFonts w:ascii="Times New Roman" w:hAnsi="Times New Roman"/>
          <w:b/>
          <w:bCs/>
          <w:color w:val="1A1A1A"/>
          <w:sz w:val="32"/>
          <w:szCs w:val="32"/>
        </w:rPr>
        <w:t xml:space="preserve">11. T9 — the spectral floor (the detector)</w:t>
      </w:r>
      <w:bookmarkEnd w:id="100010"/>
    </w:p>
    <w:p>
      <w:pPr>
        <w:pBdr>
          <w:left w:val="single" w:color="C9A84C" w:sz="24" w:space="12"/>
        </w:pBdr>
        <w:shd w:fill="F5F2E8" w:val="clear"/>
        <w:spacing w:after="120" w:before="120" w:line="312"/>
        <w:ind w:left="360" w:right="360"/>
        <w:jc w:val="both"/>
      </w:pPr>
      <w:r>
        <w:rPr>
          <w:rFonts w:ascii="Times New Roman" w:hAnsi="Times New Roman"/>
          <w:b/>
          <w:bCs/>
          <w:color w:val="1A1A1A"/>
          <w:sz w:val="24"/>
          <w:szCs w:val="24"/>
        </w:rPr>
        <w:t xml:space="preserve">Statement T9 (the detector law).  </w:t>
      </w:r>
      <w:r>
        <w:rPr>
          <w:rFonts w:ascii="Times New Roman" w:hAnsi="Times New Roman"/>
          <w:b w:val="false"/>
          <w:bCs w:val="false"/>
          <w:color w:val="202020"/>
          <w:sz w:val="24"/>
          <w:szCs w:val="24"/>
        </w:rPr>
        <w:t xml:space="preserve">A gap that cannot be measured does not exist for the detector. The committed period-sampled Floquet spectroscopy (the exact period propagator, one sample per period, FFT windows with quadratic peak interpolation) resolves the beat only if (i) at least three beats fit the window and (ii) the peak error is under half the Fourier resolution 2/N.</w:t>
      </w:r>
    </w:p>
    <w:p>
      <w:pPr>
        <w:spacing w:after="80" w:line="312"/>
        <w:ind w:firstLine="480"/>
        <w:jc w:val="both"/>
      </w:pPr>
      <w:r>
        <w:rPr>
          <w:rFonts w:ascii="Times New Roman" w:hAnsi="Times New Roman"/>
          <w:b w:val="false"/>
          <w:bCs w:val="false"/>
          <w:color w:val="202020"/>
          <w:sz w:val="24"/>
          <w:szCs w:val="24"/>
        </w:rPr>
        <w:t xml:space="preserve">Committed: T_sim = 20 — UNRESOLVED (1.53 beats &lt; 3 — the honest-negative language of CHB); T_sim = 40…320 — resolved, the errors 4.6e-3 → 3.2e-5 ride under the 2/N envelope (the measured exponent 2.39 is interpolation noise below the envelope; carried as data). The floor is a property of the DETECTOR, not of the physics. Campaign C9 (v1.2.0) turns exactly this envelope into the phase threshold: the map cells are classified against 2/N.</w:t>
      </w:r>
    </w:p>
    <w:p>
      <w:pPr>
        <w:pStyle w:val="Heading1"/>
        <w:keepNext/>
        <w:spacing w:after="160" w:before="400"/>
      </w:pPr>
      <w:bookmarkStart w:id="100011" w:name="_Toc100011"/>
      <w:r>
        <w:rPr>
          <w:rFonts w:ascii="Times New Roman" w:hAnsi="Times New Roman"/>
          <w:b/>
          <w:bCs/>
          <w:color w:val="1A1A1A"/>
          <w:sz w:val="32"/>
          <w:szCs w:val="32"/>
        </w:rPr>
        <w:t xml:space="preserve">12. T10 — the gap-drift law (the heir)</w:t>
      </w:r>
      <w:bookmarkEnd w:id="100011"/>
    </w:p>
    <w:p>
      <w:pPr>
        <w:pBdr>
          <w:left w:val="single" w:color="C9A84C" w:sz="24" w:space="12"/>
        </w:pBdr>
        <w:shd w:fill="F5F2E8" w:val="clear"/>
        <w:spacing w:after="120" w:before="120" w:line="312"/>
        <w:ind w:left="360" w:right="360"/>
        <w:jc w:val="both"/>
      </w:pPr>
      <w:r>
        <w:rPr>
          <w:rFonts w:ascii="Times New Roman" w:hAnsi="Times New Roman"/>
          <w:b/>
          <w:bCs/>
          <w:color w:val="1A1A1A"/>
          <w:sz w:val="24"/>
          <w:szCs w:val="24"/>
        </w:rPr>
        <w:t xml:space="preserve">Statement T10 (a measured law with an exact channel).  </w:t>
      </w:r>
      <w:r>
        <w:rPr>
          <w:rFonts w:ascii="Times New Roman" w:hAnsi="Times New Roman"/>
          <w:b w:val="false"/>
          <w:bCs w:val="false"/>
          <w:color w:val="202020"/>
          <w:sz w:val="24"/>
          <w:szCs w:val="24"/>
        </w:rPr>
        <w:t xml:space="preserve">The sampled geometry shifts the gap. Lemma A (inherited from CHB T10, exact): a parabola sampled with step h loses kappa·h²/8 of its peak in the worst alignment; the committed centred chain with even N IS the worst alignment — the machine check gives exactly 0.0. With the measured response s = d(Delta_0)/d(q_pk) = −1.00398294:</w:t>
      </w:r>
    </w:p>
    <w:p>
      <w:pPr>
        <w:spacing w:after="20" w:line="276"/>
        <w:ind w:left="720"/>
        <w:jc w:val="left"/>
      </w:pPr>
      <w:r>
        <w:rPr>
          <w:rFonts w:ascii="Times New Roman" w:hAnsi="Times New Roman"/>
          <w:color w:val="2A2A2A"/>
          <w:sz w:val="21"/>
          <w:szCs w:val="21"/>
        </w:rPr>
        <w:t xml:space="preserve">Delta_cont - Delta_N = C h^2 + O(h^3),   C_measured = +3.0089e-2</w:t>
      </w:r>
    </w:p>
    <w:p>
      <w:pPr>
        <w:spacing w:after="20" w:line="276"/>
        <w:ind w:left="720"/>
        <w:jc w:val="left"/>
      </w:pPr>
      <w:r>
        <w:rPr>
          <w:rFonts w:ascii="Times New Roman" w:hAnsi="Times New Roman"/>
          <w:color w:val="2A2A2A"/>
          <w:sz w:val="21"/>
          <w:szCs w:val="21"/>
        </w:rPr>
        <w:t xml:space="preserve">C_exact = s*kappa/8 = -6.275e-3,  share = -0.209 (opposing, signed)</w:t>
      </w:r>
    </w:p>
    <w:p>
      <w:pPr>
        <w:spacing w:after="20" w:line="276"/>
        <w:ind w:left="720"/>
        <w:jc w:val="left"/>
      </w:pPr>
      <w:r>
        <w:rPr>
          <w:rFonts w:ascii="Times New Roman" w:hAnsi="Times New Roman"/>
          <w:color w:val="2A2A2A"/>
          <w:sz w:val="21"/>
          <w:szCs w:val="21"/>
        </w:rPr>
        <w:t xml:space="preserve">p_eff = 1.948 -&gt; 1.974 -&gt; 1.987</w:t>
      </w:r>
    </w:p>
    <w:p>
      <w:pPr>
        <w:spacing w:after="60"/>
      </w:pPr>
    </w:p>
    <w:p>
      <w:pPr>
        <w:spacing w:after="80" w:line="312"/>
        <w:ind w:firstLine="480"/>
        <w:jc w:val="both"/>
      </w:pPr>
      <w:r>
        <w:rPr>
          <w:rFonts w:ascii="Times New Roman" w:hAnsi="Times New Roman"/>
          <w:b w:val="false"/>
          <w:bCs w:val="false"/>
          <w:color w:val="202020"/>
          <w:sz w:val="24"/>
          <w:szCs w:val="24"/>
        </w:rPr>
        <w:t xml:space="preserve">Two honest negatives travel with the theorem: Delta_cont is NOT claimed (the two-parameter fit 0.523460440588 is displayed without a claim — the same rejection CHB applied to A*_inf), and the two-channel decomposition of the remainder is a marked hypothesis. The sign mirror: the CHB threshold ladder approached from above, the gap ladder approaches from below; the sign is carried, not hidden. The full derivation lives in docs/gap_law.md of the package.</w:t>
      </w:r>
    </w:p>
    <w:p>
      <w:pPr>
        <w:pStyle w:val="Heading1"/>
        <w:keepNext/>
        <w:spacing w:after="160" w:before="400"/>
      </w:pPr>
      <w:bookmarkStart w:id="100012" w:name="_Toc100012"/>
      <w:r>
        <w:rPr>
          <w:rFonts w:ascii="Times New Roman" w:hAnsi="Times New Roman"/>
          <w:b/>
          <w:bCs/>
          <w:color w:val="1A1A1A"/>
          <w:sz w:val="32"/>
          <w:szCs w:val="32"/>
        </w:rPr>
        <w:t xml:space="preserve">13. T11 — the stability contrast (exact; v1.2.0)</w:t>
      </w:r>
      <w:bookmarkEnd w:id="100012"/>
    </w:p>
    <w:p>
      <w:pPr>
        <w:pBdr>
          <w:left w:val="single" w:color="C9A84C" w:sz="24" w:space="12"/>
        </w:pBdr>
        <w:shd w:fill="F5F2E8" w:val="clear"/>
        <w:spacing w:after="120" w:before="120" w:line="312"/>
        <w:ind w:left="360" w:right="360"/>
        <w:jc w:val="both"/>
      </w:pPr>
      <w:r>
        <w:rPr>
          <w:rFonts w:ascii="Times New Roman" w:hAnsi="Times New Roman"/>
          <w:b/>
          <w:bCs/>
          <w:color w:val="1A1A1A"/>
          <w:sz w:val="24"/>
          <w:szCs w:val="24"/>
        </w:rPr>
        <w:t xml:space="preserve">Statement T11 (exact, classical + machine).  </w:t>
      </w:r>
      <w:r>
        <w:rPr>
          <w:rFonts w:ascii="Times New Roman" w:hAnsi="Times New Roman"/>
          <w:b w:val="false"/>
          <w:bCs w:val="false"/>
          <w:color w:val="202020"/>
          <w:sz w:val="24"/>
          <w:szCs w:val="24"/>
        </w:rPr>
        <w:t xml:space="preserve">The equilateral triangle of three identical same-sign vortices (the Kirchhoff problem, 1876) is a rigidly rotating relative equilibrium with omega = Gamma_tot/(2 pi a²) = 3/(2 pi) = 0.477464829… (unit circulations, unit side), and its corotating-frame linearization is NEUTRAL: the exact analytic Jacobian has the spectrum {0, 0, +i omega, −i omega, +i omega, −i omega} — every eigenvalue on the imaginary axis or at the origin.</w:t>
      </w:r>
    </w:p>
    <w:p>
      <w:pPr>
        <w:spacing w:after="80" w:line="312"/>
        <w:ind w:firstLine="480"/>
        <w:jc w:val="both"/>
      </w:pPr>
      <w:r>
        <w:rPr>
          <w:rFonts w:ascii="Times New Roman" w:hAnsi="Times New Roman"/>
          <w:b w:val="false"/>
          <w:bCs w:val="false"/>
          <w:color w:val="202020"/>
          <w:sz w:val="24"/>
          <w:szCs w:val="24"/>
        </w:rPr>
        <w:t xml:space="preserve">The symbolic proof (IVP11, SymPy): the characteristic polynomial of the corotating linearization, computed in exact arithmetic over Q(sqrt(3), pi), is IDENTICALLY lambda²·(lambda² + omega²)² — the deviation is exactly 0. The machine layer (C11, block B1): the exact Jacobian (no finite differences) gives max|Re| = 2.8e-17 on the imaginary pairs and 4.7e-9 of solver noise on the genuine double-zero eigenvalue; the polynomial identity is reproduced numerically with dev 1.75e-16.</w:t>
      </w:r>
    </w:p>
    <w:p>
      <w:pPr>
        <w:spacing w:after="80" w:line="312"/>
        <w:ind w:firstLine="480"/>
        <w:jc w:val="both"/>
      </w:pPr>
      <w:r>
        <w:rPr>
          <w:rFonts w:ascii="Times New Roman" w:hAnsi="Times New Roman"/>
          <w:b w:val="false"/>
          <w:bCs w:val="false"/>
          <w:color w:val="202020"/>
          <w:sz w:val="24"/>
          <w:szCs w:val="24"/>
        </w:rPr>
        <w:t xml:space="preserve">The measured complement (C11, block B2): three full rotations of the triangle are rigid to 1.5e-14 (the three pairwise distances constant), all four classical invariants I, H, P, Q drift by less than 2.2e-14, and the measured rotation rate matches the exact one to 1.6e-14.</w:t>
      </w:r>
    </w:p>
    <w:p>
      <w:pPr>
        <w:keepNext/>
        <w:spacing w:after="80" w:before="160"/>
      </w:pPr>
      <w:r>
        <w:rPr>
          <w:rFonts w:ascii="Times New Roman" w:hAnsi="Times New Roman"/>
          <w:b/>
          <w:bCs/>
          <w:color w:val="6B6455"/>
          <w:sz w:val="21"/>
          <w:szCs w:val="21"/>
        </w:rPr>
        <w:t xml:space="preserve">Table T11 — the contrast of the SAME triangle (c2_verdict.json, c11_verdict.json)</w:t>
      </w:r>
    </w:p>
    <w:tbl>
      <w:tblPr>
        <w:tblW w:type="pct" w:w="100%"/>
        <w:tblBorders>
          <w:top w:val="single" w:color="DDD5C0" w:sz="4"/>
          <w:left w:val="single" w:color="DDD5C0" w:sz="4"/>
          <w:bottom w:val="single" w:color="DDD5C0" w:sz="4"/>
          <w:right w:val="single" w:color="DDD5C0" w:sz="4"/>
          <w:insideH w:val="single" w:color="DDD5C0" w:sz="4"/>
          <w:insideV w:val="single" w:color="DDD5C0" w:sz="4"/>
        </w:tblBorders>
        <w:tblLayout w:type="fixed"/>
      </w:tblPr>
      <w:tblGrid>
        <w:gridCol w:w="100"/>
        <w:gridCol w:w="100"/>
        <w:gridCol w:w="100"/>
        <w:gridCol w:w="100"/>
      </w:tblGrid>
      <w:tr>
        <w:trPr>
          <w:cantSplit/>
          <w:tblHeader/>
        </w:trPr>
        <w:tc>
          <w:tcPr>
            <w:tcW w:type="dxa" w:w="25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system</w:t>
            </w:r>
          </w:p>
        </w:tc>
        <w:tc>
          <w:tcPr>
            <w:tcW w:type="dxa" w:w="19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interaction</w:t>
            </w:r>
          </w:p>
        </w:tc>
        <w:tc>
          <w:tcPr>
            <w:tcW w:type="dxa" w:w="26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the equilateral triangle</w:t>
            </w:r>
          </w:p>
        </w:tc>
        <w:tc>
          <w:tcPr>
            <w:tcW w:type="dxa" w:w="15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status</w:t>
            </w:r>
          </w:p>
        </w:tc>
      </w:tr>
      <w:tr>
        <w:trPr>
          <w:cantSplit/>
        </w:trPr>
        <w:tc>
          <w:tcPr>
            <w:tcW w:type="dxa" w:w="25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three-body problem (Newton)</w:t>
            </w:r>
          </w:p>
        </w:tc>
        <w:tc>
          <w:tcPr>
            <w:tcW w:type="dxa" w:w="19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1/r attraction</w:t>
            </w:r>
          </w:p>
        </w:tc>
        <w:tc>
          <w:tcPr>
            <w:tcW w:type="dxa" w:w="26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unstable (Gascheau): growth sqrt(3/2)</w:t>
            </w:r>
          </w:p>
        </w:tc>
        <w:tc>
          <w:tcPr>
            <w:tcW w:type="dxa" w:w="15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exact negative (T4)</w:t>
            </w:r>
          </w:p>
        </w:tc>
      </w:tr>
      <w:tr>
        <w:trPr>
          <w:cantSplit/>
        </w:trPr>
        <w:tc>
          <w:tcPr>
            <w:tcW w:type="dxa" w:w="25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three-vortex problem (Kirchhoff)</w:t>
            </w:r>
          </w:p>
        </w:tc>
        <w:tc>
          <w:tcPr>
            <w:tcW w:type="dxa" w:w="19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logarithmic, advection</w:t>
            </w:r>
          </w:p>
        </w:tc>
        <w:tc>
          <w:tcPr>
            <w:tcW w:type="dxa" w:w="26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neutrally stable: {0, 0, ±i omega, ±i omega}</w:t>
            </w:r>
          </w:p>
        </w:tc>
        <w:tc>
          <w:tcPr>
            <w:tcW w:type="dxa" w:w="15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exact (T11)</w:t>
            </w:r>
          </w:p>
        </w:tc>
      </w:tr>
    </w:tbl>
    <w:p>
      <w:pPr>
        <w:spacing w:after="80" w:line="312"/>
        <w:ind w:firstLine="480"/>
        <w:jc w:val="both"/>
      </w:pPr>
      <w:r>
        <w:rPr>
          <w:rFonts w:ascii="Times New Roman" w:hAnsi="Times New Roman"/>
          <w:b w:val="false"/>
          <w:bCs w:val="false"/>
          <w:color w:val="202020"/>
          <w:sz w:val="24"/>
          <w:szCs w:val="24"/>
        </w:rPr>
        <w:t xml:space="preserve">The reading for link H4: "three-ness" by itself does not create the escape channel — the INTERACTION decides. The trap is a property of the physics, not of the triangle. Status: an exact statement about two committed toy models; its projection on QCD remains the marked hypothesis H4.</w:t>
      </w:r>
    </w:p>
    <w:p>
      <w:pPr>
        <w:pStyle w:val="Heading1"/>
        <w:keepNext/>
        <w:spacing w:after="160" w:before="400"/>
      </w:pPr>
      <w:bookmarkStart w:id="100013" w:name="_Toc100013"/>
      <w:r>
        <w:rPr>
          <w:rFonts w:ascii="Times New Roman" w:hAnsi="Times New Roman"/>
          <w:b/>
          <w:bCs/>
          <w:color w:val="1A1A1A"/>
          <w:sz w:val="32"/>
          <w:szCs w:val="32"/>
        </w:rPr>
        <w:t xml:space="preserve">14. T12 — the invariant wall (measured; v1.2.0)</w:t>
      </w:r>
      <w:bookmarkEnd w:id="100013"/>
    </w:p>
    <w:p>
      <w:pPr>
        <w:pBdr>
          <w:left w:val="single" w:color="C9A84C" w:sz="24" w:space="12"/>
        </w:pBdr>
        <w:shd w:fill="F5F2E8" w:val="clear"/>
        <w:spacing w:after="120" w:before="120" w:line="312"/>
        <w:ind w:left="360" w:right="360"/>
        <w:jc w:val="both"/>
      </w:pPr>
      <w:r>
        <w:rPr>
          <w:rFonts w:ascii="Times New Roman" w:hAnsi="Times New Roman"/>
          <w:b/>
          <w:bCs/>
          <w:color w:val="1A1A1A"/>
          <w:sz w:val="24"/>
          <w:szCs w:val="24"/>
        </w:rPr>
        <w:t xml:space="preserve">Statement T12 (measured on the classical manifold).  </w:t>
      </w:r>
      <w:r>
        <w:rPr>
          <w:rFonts w:ascii="Times New Roman" w:hAnsi="Times New Roman"/>
          <w:b w:val="false"/>
          <w:bCs w:val="false"/>
          <w:color w:val="202020"/>
          <w:sz w:val="24"/>
          <w:szCs w:val="24"/>
        </w:rPr>
        <w:t xml:space="preserve">The mixed-sign trio (1, 1, −1) launched from the classical right-isosceles configuration r1 = sqrt(2)·xhat, r2 = sqrt(2)·yhat, r3 = r1 + r2 annihilates ALL FOUR classical invariants of the three-vortex problem at once: I = sum Gamma|r|² = 0, H = 0, P = 0, Q = 0 — machine zeros at 50 digits (mpmath; IVP11). This is the classical Aref (1979) collapse manifold; the angular impulse I is the classical prototype of the Chaplygin topological integral.</w:t>
      </w:r>
    </w:p>
    <w:p>
      <w:pPr>
        <w:spacing w:after="80" w:line="312"/>
        <w:ind w:firstLine="480"/>
        <w:jc w:val="both"/>
      </w:pPr>
      <w:r>
        <w:rPr>
          <w:rFonts w:ascii="Times New Roman" w:hAnsi="Times New Roman"/>
          <w:b w:val="false"/>
          <w:bCs w:val="false"/>
          <w:color w:val="202020"/>
          <w:sz w:val="24"/>
          <w:szCs w:val="24"/>
        </w:rPr>
        <w:t xml:space="preserve">On the committed horizon t = 12 the trio evolves NON-rigidly (the separations grow from (2, sqrt(2), sqrt(2)) and stay bounded: the maximum distance 2.7654) while all four invariants stay pinned to machine precision (drift ≤ 1.5e-12): </w:t>
      </w:r>
      <w:r>
        <w:rPr>
          <w:rFonts w:ascii="Times New Roman" w:hAnsi="Times New Roman"/>
          <w:b/>
          <w:bCs/>
          <w:color w:val="202020"/>
          <w:sz w:val="24"/>
          <w:szCs w:val="24"/>
        </w:rPr>
        <w:t xml:space="preserve">the system is bound WITHOUT ANY WALL</w:t>
      </w:r>
      <w:r>
        <w:rPr>
          <w:rFonts w:ascii="Times New Roman" w:hAnsi="Times New Roman"/>
          <w:b w:val="false"/>
          <w:bCs w:val="false"/>
          <w:color w:val="202020"/>
          <w:sz w:val="24"/>
          <w:szCs w:val="24"/>
        </w:rPr>
        <w:t xml:space="preserve"> — confinement by invariants, the topological complement of the geometric wall of T6.</w:t>
      </w:r>
    </w:p>
    <w:p>
      <w:pPr>
        <w:spacing w:after="80" w:line="312"/>
        <w:ind w:firstLine="480"/>
        <w:jc w:val="both"/>
      </w:pPr>
      <w:r>
        <w:rPr>
          <w:rFonts w:ascii="Times New Roman" w:hAnsi="Times New Roman"/>
          <w:b w:val="false"/>
          <w:bCs w:val="false"/>
          <w:color w:val="202020"/>
          <w:sz w:val="24"/>
          <w:szCs w:val="24"/>
        </w:rPr>
        <w:t xml:space="preserve">Honest caveats: the manifold I = H = P = Q = 0 is measure-zero in phase space; the self-similar collapse separatrix r ∝ (t_c − t)^(1/2) — a classical result (Aref 1979) — is NOT integrated by the package; the boundedness is measured on the committed horizon, not proven for all times. The implementation follows the classical Kirchhoff equations with the package's own code paths; the invariants are re-derived and re-measured, never imported.</w:t>
      </w:r>
    </w:p>
    <w:p>
      <w:pPr>
        <w:pStyle w:val="Heading1"/>
        <w:keepNext/>
        <w:spacing w:after="160" w:before="400"/>
      </w:pPr>
      <w:bookmarkStart w:id="100014" w:name="_Toc100014"/>
      <w:r>
        <w:rPr>
          <w:rFonts w:ascii="Times New Roman" w:hAnsi="Times New Roman"/>
          <w:b/>
          <w:bCs/>
          <w:color w:val="1A1A1A"/>
          <w:sz w:val="32"/>
          <w:szCs w:val="32"/>
        </w:rPr>
        <w:t xml:space="preserve">15. T13 — the static barrier (exact; v1.2.0)</w:t>
      </w:r>
      <w:bookmarkEnd w:id="100014"/>
    </w:p>
    <w:p>
      <w:pPr>
        <w:pBdr>
          <w:left w:val="single" w:color="C9A84C" w:sz="24" w:space="12"/>
        </w:pBdr>
        <w:shd w:fill="F5F2E8" w:val="clear"/>
        <w:spacing w:after="120" w:before="120" w:line="312"/>
        <w:ind w:left="360" w:right="360"/>
        <w:jc w:val="both"/>
      </w:pPr>
      <w:r>
        <w:rPr>
          <w:rFonts w:ascii="Times New Roman" w:hAnsi="Times New Roman"/>
          <w:b/>
          <w:bCs/>
          <w:color w:val="1A1A1A"/>
          <w:sz w:val="24"/>
          <w:szCs w:val="24"/>
        </w:rPr>
        <w:t xml:space="preserve">Statement T13 (exact for the committed engine).  </w:t>
      </w:r>
      <w:r>
        <w:rPr>
          <w:rFonts w:ascii="Times New Roman" w:hAnsi="Times New Roman"/>
          <w:b w:val="false"/>
          <w:bCs w:val="false"/>
          <w:color w:val="202020"/>
          <w:sz w:val="24"/>
          <w:szCs w:val="24"/>
        </w:rPr>
        <w:t xml:space="preserve">With the wall frozen (Omega = 0) the total energy of the engine is conserved and the wall potential grows without bound: U(r) = 2·V0·s(r)², s = max(0, (r − R_b)/w). Every solution of the committed softened engine obeys the exact radius bound</w:t>
      </w:r>
    </w:p>
    <w:p>
      <w:pPr>
        <w:spacing w:after="20" w:line="276"/>
        <w:ind w:left="720"/>
        <w:jc w:val="left"/>
      </w:pPr>
      <w:r>
        <w:rPr>
          <w:rFonts w:ascii="Times New Roman" w:hAnsi="Times New Roman"/>
          <w:color w:val="2A2A2A"/>
          <w:sz w:val="21"/>
          <w:szCs w:val="21"/>
        </w:rPr>
        <w:t xml:space="preserve">r_i(t) &lt;= R_b + w * sqrt( (E0 + 3/sqrt(soft2)) / (2 V0) )</w:t>
      </w:r>
    </w:p>
    <w:p>
      <w:pPr>
        <w:spacing w:after="60"/>
      </w:pPr>
    </w:p>
    <w:p>
      <w:pPr>
        <w:spacing w:after="80" w:line="312"/>
        <w:ind w:firstLine="480"/>
        <w:jc w:val="both"/>
      </w:pPr>
      <w:r>
        <w:rPr>
          <w:rFonts w:ascii="Times New Roman" w:hAnsi="Times New Roman"/>
          <w:b w:val="false"/>
          <w:bCs w:val="false"/>
          <w:color w:val="202020"/>
          <w:sz w:val="24"/>
          <w:szCs w:val="24"/>
        </w:rPr>
        <w:t xml:space="preserve">(the softened pair floor −3/sqrt(eps²) carried exactly; the derivation is one line: K ≥ 0 and the remaining terms are bounded below, hence U_wall(r_i) ≤ E0 + 3/sqrt(eps²)). Escape — crossing R_ESC = 12 — is therefore IMPOSSIBLE whenever</w:t>
      </w:r>
    </w:p>
    <w:p>
      <w:pPr>
        <w:spacing w:after="20" w:line="276"/>
        <w:ind w:left="720"/>
        <w:jc w:val="left"/>
      </w:pPr>
      <w:r>
        <w:rPr>
          <w:rFonts w:ascii="Times New Roman" w:hAnsi="Times New Roman"/>
          <w:color w:val="2A2A2A"/>
          <w:sz w:val="21"/>
          <w:szCs w:val="21"/>
        </w:rPr>
        <w:t xml:space="preserve">V0 &gt; V* = (E0_max + 3/sqrt(soft2)) * w^2 / (2 (R_ESC - R_b)^2) = 0.9359375</w:t>
      </w:r>
    </w:p>
    <w:p>
      <w:pPr>
        <w:spacing w:after="60"/>
      </w:pPr>
    </w:p>
    <w:p>
      <w:pPr>
        <w:spacing w:after="80" w:line="312"/>
        <w:ind w:firstLine="480"/>
        <w:jc w:val="both"/>
      </w:pPr>
      <w:r>
        <w:rPr>
          <w:rFonts w:ascii="Times New Roman" w:hAnsi="Times New Roman"/>
          <w:b w:val="false"/>
          <w:bCs w:val="false"/>
          <w:color w:val="202020"/>
          <w:sz w:val="24"/>
          <w:szCs w:val="24"/>
        </w:rPr>
        <w:t xml:space="preserve">on the committed ensemble band. The C2 cells with V0 ≥ 1.6 at Omega = 0 are sealed EXACTLY — a theorem about the engine equations, not a Monte-Carlo frequency. Machines: 0/300 escapes measured on the three cells (V0 = 0.4, 0.8, 1.6; Omega = 0) with bound margins ≥ 2.76 and the energy conserved to 7.6e-5 absolute.</w:t>
      </w:r>
    </w:p>
    <w:p>
      <w:pPr>
        <w:keepNext/>
        <w:spacing w:after="80" w:before="160"/>
      </w:pPr>
      <w:r>
        <w:rPr>
          <w:rFonts w:ascii="Times New Roman" w:hAnsi="Times New Roman"/>
          <w:b/>
          <w:bCs/>
          <w:color w:val="6B6455"/>
          <w:sz w:val="21"/>
          <w:szCs w:val="21"/>
        </w:rPr>
        <w:t xml:space="preserve">Table T13 — the honest stratification of the sealing (c11_verdict.json)</w:t>
      </w:r>
    </w:p>
    <w:tbl>
      <w:tblPr>
        <w:tblW w:type="pct" w:w="100%"/>
        <w:tblBorders>
          <w:top w:val="single" w:color="DDD5C0" w:sz="4"/>
          <w:left w:val="single" w:color="DDD5C0" w:sz="4"/>
          <w:bottom w:val="single" w:color="DDD5C0" w:sz="4"/>
          <w:right w:val="single" w:color="DDD5C0" w:sz="4"/>
          <w:insideH w:val="single" w:color="DDD5C0" w:sz="4"/>
          <w:insideV w:val="single" w:color="DDD5C0" w:sz="4"/>
        </w:tblBorders>
        <w:tblLayout w:type="fixed"/>
      </w:tblPr>
      <w:tblGrid>
        <w:gridCol w:w="100"/>
        <w:gridCol w:w="100"/>
        <w:gridCol w:w="100"/>
      </w:tblGrid>
      <w:tr>
        <w:trPr>
          <w:cantSplit/>
          <w:tblHeader/>
        </w:trPr>
        <w:tc>
          <w:tcPr>
            <w:tcW w:type="dxa" w:w="24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regime</w:t>
            </w:r>
          </w:p>
        </w:tc>
        <w:tc>
          <w:tcPr>
            <w:tcW w:type="dxa" w:w="38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statement</w:t>
            </w:r>
          </w:p>
        </w:tc>
        <w:tc>
          <w:tcPr>
            <w:tcW w:type="dxa" w:w="17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status</w:t>
            </w:r>
          </w:p>
        </w:tc>
      </w:tr>
      <w:tr>
        <w:trPr>
          <w:cantSplit/>
        </w:trPr>
        <w:tc>
          <w:tcPr>
            <w:tcW w:type="dxa" w:w="2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V0 ≥ V*, Omega = 0</w:t>
            </w:r>
          </w:p>
        </w:tc>
        <w:tc>
          <w:tcPr>
            <w:tcW w:type="dxa" w:w="3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escape impossible (the radius bound)</w:t>
            </w:r>
          </w:p>
        </w:tc>
        <w:tc>
          <w:tcPr>
            <w:tcW w:type="dxa" w:w="17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exact, proven</w:t>
            </w:r>
          </w:p>
        </w:tc>
      </w:tr>
      <w:tr>
        <w:trPr>
          <w:cantSplit/>
        </w:trPr>
        <w:tc>
          <w:tcPr>
            <w:tcW w:type="dxa" w:w="2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V0 &lt; V*, Omega = 0</w:t>
            </w:r>
          </w:p>
        </w:tc>
        <w:tc>
          <w:tcPr>
            <w:tcW w:type="dxa" w:w="3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escape allowed by the bound, NOT OBSERVED (0/300, T = 12)</w:t>
            </w:r>
          </w:p>
        </w:tc>
        <w:tc>
          <w:tcPr>
            <w:tcW w:type="dxa" w:w="17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measured on the horizon</w:t>
            </w:r>
          </w:p>
        </w:tc>
      </w:tr>
      <w:tr>
        <w:trPr>
          <w:cantSplit/>
        </w:trPr>
        <w:tc>
          <w:tcPr>
            <w:tcW w:type="dxa" w:w="2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Omega &gt; 0</w:t>
            </w:r>
          </w:p>
        </w:tc>
        <w:tc>
          <w:tcPr>
            <w:tcW w:type="dxa" w:w="3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wall does work: median |dE| = 0.146; the C2/C7 sealing is finite-time</w:t>
            </w:r>
          </w:p>
        </w:tc>
        <w:tc>
          <w:tcPr>
            <w:tcW w:type="dxa" w:w="17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measured, honest complement</w:t>
            </w:r>
          </w:p>
        </w:tc>
      </w:tr>
    </w:tbl>
    <w:p>
      <w:pPr>
        <w:spacing w:after="80" w:line="312"/>
        <w:ind w:firstLine="480"/>
        <w:jc w:val="both"/>
      </w:pPr>
      <w:r>
        <w:rPr>
          <w:rFonts w:ascii="Times New Roman" w:hAnsi="Times New Roman"/>
          <w:b w:val="false"/>
          <w:bCs w:val="false"/>
          <w:color w:val="202020"/>
          <w:sz w:val="24"/>
          <w:szCs w:val="24"/>
        </w:rPr>
        <w:t xml:space="preserve">The honest caveat: the theorem is stated for the COMMITTED SOFTENED engine (the pair floor enters the bound); at Omega &gt; 0 the wall pumps energy, conservation fails, and the verdict stays finite-time — both marks travel with the numbers.</w:t>
      </w:r>
    </w:p>
    <w:p>
      <w:pPr>
        <w:pStyle w:val="Heading1"/>
        <w:keepNext/>
        <w:spacing w:after="160" w:before="400"/>
      </w:pPr>
      <w:bookmarkStart w:id="100015" w:name="_Toc100015"/>
      <w:r>
        <w:rPr>
          <w:rFonts w:ascii="Times New Roman" w:hAnsi="Times New Roman"/>
          <w:b/>
          <w:bCs/>
          <w:color w:val="1A1A1A"/>
          <w:sz w:val="32"/>
          <w:szCs w:val="32"/>
        </w:rPr>
        <w:t xml:space="preserve">16. The verification matrix</w:t>
      </w:r>
      <w:bookmarkEnd w:id="100015"/>
    </w:p>
    <w:p>
      <w:pPr>
        <w:spacing w:after="80" w:line="312"/>
        <w:ind w:firstLine="480"/>
        <w:jc w:val="both"/>
      </w:pPr>
      <w:r>
        <w:rPr>
          <w:rFonts w:ascii="Times New Roman" w:hAnsi="Times New Roman"/>
          <w:b w:val="false"/>
          <w:bCs w:val="false"/>
          <w:color w:val="202020"/>
          <w:sz w:val="24"/>
          <w:szCs w:val="24"/>
        </w:rPr>
        <w:t xml:space="preserve">Eleven campaigns C1–C11 produce eleven committed deterministic verdicts; the hostile audit IVP-11 (eleven checks from sources of truth OUTSIDE the committed results) confirms them 11/11 PASS; 94 pytest pins bind the numbers to the build. The matrix below is the summary; the verdict addresses live in docs/validation.md of the package.</w:t>
      </w:r>
    </w:p>
    <w:p>
      <w:pPr>
        <w:keepNext/>
        <w:spacing w:after="80" w:before="160"/>
      </w:pPr>
      <w:r>
        <w:rPr>
          <w:rFonts w:ascii="Times New Roman" w:hAnsi="Times New Roman"/>
          <w:b/>
          <w:bCs/>
          <w:color w:val="6B6455"/>
          <w:sz w:val="21"/>
          <w:szCs w:val="21"/>
        </w:rPr>
        <w:t xml:space="preserve">Table 16.1 — the campaigns and their theorems</w:t>
      </w:r>
    </w:p>
    <w:tbl>
      <w:tblPr>
        <w:tblW w:type="pct" w:w="100%"/>
        <w:tblBorders>
          <w:top w:val="single" w:color="DDD5C0" w:sz="4"/>
          <w:left w:val="single" w:color="DDD5C0" w:sz="4"/>
          <w:bottom w:val="single" w:color="DDD5C0" w:sz="4"/>
          <w:right w:val="single" w:color="DDD5C0" w:sz="4"/>
          <w:insideH w:val="single" w:color="DDD5C0" w:sz="4"/>
          <w:insideV w:val="single" w:color="DDD5C0" w:sz="4"/>
        </w:tblBorders>
        <w:tblLayout w:type="fixed"/>
      </w:tblPr>
      <w:tblGrid>
        <w:gridCol w:w="100"/>
        <w:gridCol w:w="100"/>
        <w:gridCol w:w="100"/>
        <w:gridCol w:w="100"/>
      </w:tblGrid>
      <w:tr>
        <w:trPr>
          <w:cantSplit/>
          <w:tblHeader/>
        </w:trPr>
        <w:tc>
          <w:tcPr>
            <w:tcW w:type="dxa" w:w="13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campaign</w:t>
            </w:r>
          </w:p>
        </w:tc>
        <w:tc>
          <w:tcPr>
            <w:tcW w:type="dxa" w:w="34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content</w:t>
            </w:r>
          </w:p>
        </w:tc>
        <w:tc>
          <w:tcPr>
            <w:tcW w:type="dxa" w:w="18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theorems</w:t>
            </w:r>
          </w:p>
        </w:tc>
        <w:tc>
          <w:tcPr>
            <w:tcW w:type="dxa" w:w="14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runtime</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C1</w:t>
            </w:r>
          </w:p>
        </w:tc>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statics, the gap law, sectors, T2</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T1–T3</w:t>
            </w:r>
          </w:p>
        </w:tc>
        <w:tc>
          <w:tcPr>
            <w:tcW w:type="dxa" w:w="1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~1 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C2</w:t>
            </w:r>
          </w:p>
        </w:tc>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Gascheau, the trap grid, Lyapunov</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T4–T6</w:t>
            </w:r>
          </w:p>
        </w:tc>
        <w:tc>
          <w:tcPr>
            <w:tcW w:type="dxa" w:w="1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~3.5 min</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C3</w:t>
            </w:r>
          </w:p>
        </w:tc>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Wu door: the 6x5 grid x 200k</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T7</w:t>
            </w:r>
          </w:p>
        </w:tc>
        <w:tc>
          <w:tcPr>
            <w:tcW w:type="dxa" w:w="1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~1 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C4</w:t>
            </w:r>
          </w:p>
        </w:tc>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detector ladder T_sim 20..320</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T9</w:t>
            </w:r>
          </w:p>
        </w:tc>
        <w:tc>
          <w:tcPr>
            <w:tcW w:type="dxa" w:w="1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~1 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C5</w:t>
            </w:r>
          </w:p>
        </w:tc>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drift ladder N 32..512, channels</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T10</w:t>
            </w:r>
          </w:p>
        </w:tc>
        <w:tc>
          <w:tcPr>
            <w:tcW w:type="dxa" w:w="1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~1 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C6</w:t>
            </w:r>
          </w:p>
        </w:tc>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three-branch physical mapping</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T8 (contact)</w:t>
            </w:r>
          </w:p>
        </w:tc>
        <w:tc>
          <w:tcPr>
            <w:tcW w:type="dxa" w:w="1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~1 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C7</w:t>
            </w:r>
          </w:p>
        </w:tc>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sigma ladder, the V0* collapse</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T6 (ext.)</w:t>
            </w:r>
          </w:p>
        </w:tc>
        <w:tc>
          <w:tcPr>
            <w:tcW w:type="dxa" w:w="1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~5 min</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C8</w:t>
            </w:r>
          </w:p>
        </w:tc>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pairwise door, RK4 ladder, mpmath</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T7 (negative)</w:t>
            </w:r>
          </w:p>
        </w:tc>
        <w:tc>
          <w:tcPr>
            <w:tcW w:type="dxa" w:w="1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~10 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C9</w:t>
            </w:r>
          </w:p>
        </w:tc>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phase map, the valley, the counterexample</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T3 (scope)</w:t>
            </w:r>
          </w:p>
        </w:tc>
        <w:tc>
          <w:tcPr>
            <w:tcW w:type="dxa" w:w="1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~11 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C10</w:t>
            </w:r>
          </w:p>
        </w:tc>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8-config ablation, forecasts</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T2/T3 (cause)</w:t>
            </w:r>
          </w:p>
        </w:tc>
        <w:tc>
          <w:tcPr>
            <w:tcW w:type="dxa" w:w="1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~4 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C11</w:t>
            </w:r>
          </w:p>
        </w:tc>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vortex anchor, Aref, the static barrier</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T11–T13</w:t>
            </w:r>
          </w:p>
        </w:tc>
        <w:tc>
          <w:tcPr>
            <w:tcW w:type="dxa" w:w="1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~35 s</w:t>
            </w:r>
          </w:p>
        </w:tc>
      </w:tr>
    </w:tbl>
    <w:p>
      <w:pPr>
        <w:keepNext/>
        <w:spacing w:after="80" w:before="160"/>
      </w:pPr>
      <w:r>
        <w:rPr>
          <w:rFonts w:ascii="Times New Roman" w:hAnsi="Times New Roman"/>
          <w:b/>
          <w:bCs/>
          <w:color w:val="6B6455"/>
          <w:sz w:val="21"/>
          <w:szCs w:val="21"/>
        </w:rPr>
        <w:t xml:space="preserve">Table 16.2 — the audit IVP-11 (11/11 PASS)</w:t>
      </w:r>
    </w:p>
    <w:tbl>
      <w:tblPr>
        <w:tblW w:type="pct" w:w="100%"/>
        <w:tblBorders>
          <w:top w:val="single" w:color="DDD5C0" w:sz="4"/>
          <w:left w:val="single" w:color="DDD5C0" w:sz="4"/>
          <w:bottom w:val="single" w:color="DDD5C0" w:sz="4"/>
          <w:right w:val="single" w:color="DDD5C0" w:sz="4"/>
          <w:insideH w:val="single" w:color="DDD5C0" w:sz="4"/>
          <w:insideV w:val="single" w:color="DDD5C0" w:sz="4"/>
        </w:tblBorders>
        <w:tblLayout w:type="fixed"/>
      </w:tblPr>
      <w:tblGrid>
        <w:gridCol w:w="100"/>
        <w:gridCol w:w="100"/>
        <w:gridCol w:w="100"/>
      </w:tblGrid>
      <w:tr>
        <w:trPr>
          <w:cantSplit/>
          <w:tblHeader/>
        </w:trPr>
        <w:tc>
          <w:tcPr>
            <w:tcW w:type="dxa" w:w="13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IVP</w:t>
            </w:r>
          </w:p>
        </w:tc>
        <w:tc>
          <w:tcPr>
            <w:tcW w:type="dxa" w:w="48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check</w:t>
            </w:r>
          </w:p>
        </w:tc>
        <w:tc>
          <w:tcPr>
            <w:tcW w:type="dxa" w:w="18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verdict</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IVP01</w:t>
            </w:r>
          </w:p>
        </w:tc>
        <w:tc>
          <w:tcPr>
            <w:tcW w:type="dxa" w:w="4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release integrity (verdicts + sha256)</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PASS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IVP02</w:t>
            </w:r>
          </w:p>
        </w:tc>
        <w:tc>
          <w:tcPr>
            <w:tcW w:type="dxa" w:w="4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canonical job (fresh interpreter)</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PASS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IVP03</w:t>
            </w:r>
          </w:p>
        </w:tc>
        <w:tc>
          <w:tcPr>
            <w:tcW w:type="dxa" w:w="4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dependency audit (ast-scan)</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PASS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IVP04</w:t>
            </w:r>
          </w:p>
        </w:tc>
        <w:tc>
          <w:tcPr>
            <w:tcW w:type="dxa" w:w="4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50-digit derivation of closed forms</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PASS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IVP05</w:t>
            </w:r>
          </w:p>
        </w:tc>
        <w:tc>
          <w:tcPr>
            <w:tcW w:type="dxa" w:w="4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dimensions gates (SI)</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PASS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IVP06</w:t>
            </w:r>
          </w:p>
        </w:tc>
        <w:tc>
          <w:tcPr>
            <w:tcW w:type="dxa" w:w="4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symbolic layer (Gascheau + Lemma A)</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PASS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IVP07</w:t>
            </w:r>
          </w:p>
        </w:tc>
        <w:tc>
          <w:tcPr>
            <w:tcW w:type="dxa" w:w="4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convergence orders (p_eff)</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PASS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IVP08</w:t>
            </w:r>
          </w:p>
        </w:tc>
        <w:tc>
          <w:tcPr>
            <w:tcW w:type="dxa" w:w="4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seed determinism (bit-identical MC)</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PASS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IVP09</w:t>
            </w:r>
          </w:p>
        </w:tc>
        <w:tc>
          <w:tcPr>
            <w:tcW w:type="dxa" w:w="4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phase-map gate (own bisection)</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PASS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IVP10</w:t>
            </w:r>
          </w:p>
        </w:tc>
        <w:tc>
          <w:tcPr>
            <w:tcW w:type="dxa" w:w="4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competing-model gates (M = 3840)</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PASS</w:t>
            </w:r>
          </w:p>
        </w:tc>
      </w:tr>
      <w:tr>
        <w:trPr>
          <w:cantSplit/>
        </w:trPr>
        <w:tc>
          <w:tcPr>
            <w:tcW w:type="dxa" w:w="1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IVP11</w:t>
            </w:r>
          </w:p>
        </w:tc>
        <w:tc>
          <w:tcPr>
            <w:tcW w:type="dxa" w:w="4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vortex layer (SymPy charpoly, 50-digit Aref)</w:t>
            </w:r>
          </w:p>
        </w:tc>
        <w:tc>
          <w:tcPr>
            <w:tcW w:type="dxa" w:w="18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PASS</w:t>
            </w:r>
          </w:p>
        </w:tc>
      </w:tr>
    </w:tbl>
    <w:p>
      <w:pPr>
        <w:pStyle w:val="Heading1"/>
        <w:keepNext/>
        <w:spacing w:after="160" w:before="400"/>
      </w:pPr>
      <w:bookmarkStart w:id="100016" w:name="_Toc100016"/>
      <w:r>
        <w:rPr>
          <w:rFonts w:ascii="Times New Roman" w:hAnsi="Times New Roman"/>
          <w:b/>
          <w:bCs/>
          <w:color w:val="1A1A1A"/>
          <w:sz w:val="32"/>
          <w:szCs w:val="32"/>
        </w:rPr>
        <w:t xml:space="preserve">17. The honesty register (the claims registry)</w:t>
      </w:r>
      <w:bookmarkEnd w:id="100016"/>
    </w:p>
    <w:p>
      <w:pPr>
        <w:spacing w:after="80" w:line="312"/>
        <w:ind w:firstLine="480"/>
        <w:jc w:val="both"/>
      </w:pPr>
      <w:r>
        <w:rPr>
          <w:rFonts w:ascii="Times New Roman" w:hAnsi="Times New Roman"/>
          <w:b w:val="false"/>
          <w:bCs w:val="false"/>
          <w:color w:val="202020"/>
          <w:sz w:val="24"/>
          <w:szCs w:val="24"/>
        </w:rPr>
        <w:t xml:space="preserve">Since v1.2.0 the honesty register is machine-supported: results/claims_registry.json lists the 27 load-bearing statements of the package, each with a status from the five-element enum (exact / measured-law / honest-negative / hypothesis / comparison), a verdict address, a five-field uncertainty budget (statistical / discretization / solver / parameter / model) and a pre-committed falsification criterion. The qhb.claims validator checks the schema, the addresses and the budgets on every build; the tests break if the registry breaks.</w:t>
      </w:r>
    </w:p>
    <w:p>
      <w:pPr>
        <w:keepNext/>
        <w:spacing w:after="80" w:before="160"/>
      </w:pPr>
      <w:r>
        <w:rPr>
          <w:rFonts w:ascii="Times New Roman" w:hAnsi="Times New Roman"/>
          <w:b/>
          <w:bCs/>
          <w:color w:val="6B6455"/>
          <w:sz w:val="21"/>
          <w:szCs w:val="21"/>
        </w:rPr>
        <w:t xml:space="preserve">Table 17.1 — the registry statuses (v1.2.0)</w:t>
      </w:r>
    </w:p>
    <w:tbl>
      <w:tblPr>
        <w:tblW w:type="pct" w:w="100%"/>
        <w:tblBorders>
          <w:top w:val="single" w:color="DDD5C0" w:sz="4"/>
          <w:left w:val="single" w:color="DDD5C0" w:sz="4"/>
          <w:bottom w:val="single" w:color="DDD5C0" w:sz="4"/>
          <w:right w:val="single" w:color="DDD5C0" w:sz="4"/>
          <w:insideH w:val="single" w:color="DDD5C0" w:sz="4"/>
          <w:insideV w:val="single" w:color="DDD5C0" w:sz="4"/>
        </w:tblBorders>
        <w:tblLayout w:type="fixed"/>
      </w:tblPr>
      <w:tblGrid>
        <w:gridCol w:w="100"/>
        <w:gridCol w:w="100"/>
        <w:gridCol w:w="100"/>
      </w:tblGrid>
      <w:tr>
        <w:trPr>
          <w:cantSplit/>
          <w:tblHeader/>
        </w:trPr>
        <w:tc>
          <w:tcPr>
            <w:tcW w:type="dxa" w:w="34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status</w:t>
            </w:r>
          </w:p>
        </w:tc>
        <w:tc>
          <w:tcPr>
            <w:tcW w:type="dxa" w:w="12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count</w:t>
            </w:r>
          </w:p>
        </w:tc>
        <w:tc>
          <w:tcPr>
            <w:tcW w:type="dxa" w:w="3300"/>
            <w:shd w:fill="C9A84C" w:val="clear"/>
            <w:tcMar>
              <w:top w:type="dxa" w:w="60"/>
              <w:left w:type="dxa" w:w="110"/>
              <w:bottom w:type="dxa" w:w="60"/>
              <w:right w:type="dxa" w:w="110"/>
            </w:tcMar>
            <w:vAlign w:val="center"/>
          </w:tcPr>
          <w:p>
            <w:pPr>
              <w:spacing w:line="264"/>
            </w:pPr>
            <w:r>
              <w:rPr>
                <w:rFonts w:ascii="Times New Roman" w:hAnsi="Times New Roman"/>
                <w:b/>
                <w:bCs/>
                <w:color w:val="1A1A1A"/>
                <w:sz w:val="20"/>
                <w:szCs w:val="20"/>
              </w:rPr>
              <w:t xml:space="preserve">example</w:t>
            </w:r>
          </w:p>
        </w:tc>
      </w:tr>
      <w:tr>
        <w:trPr>
          <w:cantSplit/>
        </w:trPr>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exact</w:t>
            </w:r>
          </w:p>
        </w:tc>
        <w:tc>
          <w:tcPr>
            <w:tcW w:type="dxa" w:w="12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5</w:t>
            </w:r>
          </w:p>
        </w:tc>
        <w:tc>
          <w:tcPr>
            <w:tcW w:type="dxa" w:w="3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T11 spectrum {0, 0, ±i omega, ±i omega}; the T13 barrier V*</w:t>
            </w:r>
          </w:p>
        </w:tc>
      </w:tr>
      <w:tr>
        <w:trPr>
          <w:cantSplit/>
        </w:trPr>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measured-law</w:t>
            </w:r>
          </w:p>
        </w:tc>
        <w:tc>
          <w:tcPr>
            <w:tcW w:type="dxa" w:w="12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12</w:t>
            </w:r>
          </w:p>
        </w:tc>
        <w:tc>
          <w:tcPr>
            <w:tcW w:type="dxa" w:w="3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gap law T3; the C9 narrowing valley</w:t>
            </w:r>
          </w:p>
        </w:tc>
      </w:tr>
      <w:tr>
        <w:trPr>
          <w:cantSplit/>
        </w:trPr>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honest-negative</w:t>
            </w:r>
          </w:p>
        </w:tc>
        <w:tc>
          <w:tcPr>
            <w:tcW w:type="dxa" w:w="12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7</w:t>
            </w:r>
          </w:p>
        </w:tc>
        <w:tc>
          <w:tcPr>
            <w:tcW w:type="dxa" w:w="3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free-trio P_esc; Delta_cont not claimed</w:t>
            </w:r>
          </w:p>
        </w:tc>
      </w:tr>
      <w:tr>
        <w:trPr>
          <w:cantSplit/>
        </w:trPr>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hypothesis</w:t>
            </w:r>
          </w:p>
        </w:tc>
        <w:tc>
          <w:tcPr>
            <w:tcW w:type="dxa" w:w="12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1</w:t>
            </w:r>
          </w:p>
        </w:tc>
        <w:tc>
          <w:tcPr>
            <w:tcW w:type="dxa" w:w="3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confinement mechanism (furnace-gap-door-trap)</w:t>
            </w:r>
          </w:p>
        </w:tc>
      </w:tr>
      <w:tr>
        <w:trPr>
          <w:cantSplit/>
        </w:trPr>
        <w:tc>
          <w:tcPr>
            <w:tcW w:type="dxa" w:w="34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comparison</w:t>
            </w:r>
          </w:p>
        </w:tc>
        <w:tc>
          <w:tcPr>
            <w:tcW w:type="dxa" w:w="12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2</w:t>
            </w:r>
          </w:p>
        </w:tc>
        <w:tc>
          <w:tcPr>
            <w:tcW w:type="dxa" w:w="3300"/>
            <w:shd w:fill="F5F2E8" w:val="clear"/>
            <w:tcMar>
              <w:top w:type="dxa" w:w="60"/>
              <w:left w:type="dxa" w:w="110"/>
              <w:bottom w:type="dxa" w:w="60"/>
              <w:right w:type="dxa" w:w="110"/>
            </w:tcMar>
            <w:vAlign w:val="center"/>
          </w:tcPr>
          <w:p>
            <w:pPr>
              <w:spacing w:line="264"/>
            </w:pPr>
            <w:r>
              <w:rPr>
                <w:rFonts w:ascii="Times New Roman" w:hAnsi="Times New Roman"/>
                <w:b w:val="false"/>
                <w:bCs w:val="false"/>
                <w:color w:val="202020"/>
                <w:sz w:val="20"/>
                <w:szCs w:val="20"/>
              </w:rPr>
              <w:t xml:space="preserve">the QCD contact 0.68x; the window Lambda/E_gap = 4.09</w:t>
            </w:r>
          </w:p>
        </w:tc>
      </w:tr>
    </w:tbl>
    <w:p>
      <w:pPr>
        <w:spacing w:after="80" w:line="312"/>
        <w:ind w:firstLine="480"/>
        <w:jc w:val="both"/>
      </w:pPr>
      <w:r>
        <w:rPr>
          <w:rFonts w:ascii="Times New Roman" w:hAnsi="Times New Roman"/>
          <w:b w:val="false"/>
          <w:bCs w:val="false"/>
          <w:color w:val="202020"/>
          <w:sz w:val="24"/>
          <w:szCs w:val="24"/>
        </w:rPr>
        <w:t xml:space="preserve">The registry rule: a conclusion can never be marked exact because one error component is zero — the model-uncertainty field of every toy-model fact points at the toy itself. Quoting a number of the package obliges carrying its status and its verdict address (the honesty discipline is part of the license).</w:t>
      </w:r>
    </w:p>
    <w:p>
      <w:pPr>
        <w:pStyle w:val="Heading1"/>
        <w:keepNext/>
        <w:spacing w:after="160" w:before="400"/>
      </w:pPr>
      <w:bookmarkStart w:id="100017" w:name="_Toc100017"/>
      <w:r>
        <w:rPr>
          <w:rFonts w:ascii="Times New Roman" w:hAnsi="Times New Roman"/>
          <w:b/>
          <w:bCs/>
          <w:color w:val="1A1A1A"/>
          <w:sz w:val="32"/>
          <w:szCs w:val="32"/>
        </w:rPr>
        <w:t xml:space="preserve">18. References</w:t>
      </w:r>
      <w:bookmarkEnd w:id="100017"/>
    </w:p>
    <w:p>
      <w:pPr>
        <w:spacing w:after="40" w:line="288"/>
        <w:ind w:left="360" w:hanging="360"/>
        <w:jc w:val="left"/>
      </w:pPr>
      <w:r>
        <w:rPr>
          <w:rFonts w:ascii="Times New Roman" w:hAnsi="Times New Roman"/>
          <w:color w:val="202020"/>
          <w:sz w:val="21"/>
          <w:szCs w:val="21"/>
        </w:rPr>
        <w:t xml:space="preserve">1. Wu, C. S. et al. (1957). Experimental test of parity conservation in beta decay. Phys. Rev. 105, 1413.</w:t>
      </w:r>
    </w:p>
    <w:p>
      <w:pPr>
        <w:spacing w:after="40" w:line="288"/>
        <w:ind w:left="360" w:hanging="360"/>
        <w:jc w:val="left"/>
      </w:pPr>
      <w:r>
        <w:rPr>
          <w:rFonts w:ascii="Times New Roman" w:hAnsi="Times New Roman"/>
          <w:color w:val="202020"/>
          <w:sz w:val="21"/>
          <w:szCs w:val="21"/>
        </w:rPr>
        <w:t xml:space="preserve">2. Lee, T. D., Yang, C. N. (1956). Question of parity conservation in weak interactions. Phys. Rev. 104, 254.</w:t>
      </w:r>
    </w:p>
    <w:p>
      <w:pPr>
        <w:spacing w:after="40" w:line="288"/>
        <w:ind w:left="360" w:hanging="360"/>
        <w:jc w:val="left"/>
      </w:pPr>
      <w:r>
        <w:rPr>
          <w:rFonts w:ascii="Times New Roman" w:hAnsi="Times New Roman"/>
          <w:color w:val="202020"/>
          <w:sz w:val="21"/>
          <w:szCs w:val="21"/>
        </w:rPr>
        <w:t xml:space="preserve">3. Gascheau, G. (1843). Sur l'equilibre d'un systeme de trois points materiels qui s'attirent mutuellement. C. R. Acad. Sci. 16.</w:t>
      </w:r>
    </w:p>
    <w:p>
      <w:pPr>
        <w:spacing w:after="40" w:line="288"/>
        <w:ind w:left="360" w:hanging="360"/>
        <w:jc w:val="left"/>
      </w:pPr>
      <w:r>
        <w:rPr>
          <w:rFonts w:ascii="Times New Roman" w:hAnsi="Times New Roman"/>
          <w:color w:val="202020"/>
          <w:sz w:val="21"/>
          <w:szCs w:val="21"/>
        </w:rPr>
        <w:t xml:space="preserve">4. Routh, E. J. (1875). On the stability of a given state of motion.</w:t>
      </w:r>
    </w:p>
    <w:p>
      <w:pPr>
        <w:spacing w:after="40" w:line="288"/>
        <w:ind w:left="360" w:hanging="360"/>
        <w:jc w:val="left"/>
      </w:pPr>
      <w:r>
        <w:rPr>
          <w:rFonts w:ascii="Times New Roman" w:hAnsi="Times New Roman"/>
          <w:color w:val="202020"/>
          <w:sz w:val="21"/>
          <w:szCs w:val="21"/>
        </w:rPr>
        <w:t xml:space="preserve">5. Choptuik, M. W. (1993). Critical behavior in gravitational collapse. Phys. Rev. Lett. 70, 9.</w:t>
      </w:r>
    </w:p>
    <w:p>
      <w:pPr>
        <w:spacing w:after="40" w:line="288"/>
        <w:ind w:left="360" w:hanging="360"/>
        <w:jc w:val="left"/>
      </w:pPr>
      <w:r>
        <w:rPr>
          <w:rFonts w:ascii="Times New Roman" w:hAnsi="Times New Roman"/>
          <w:color w:val="202020"/>
          <w:sz w:val="21"/>
          <w:szCs w:val="21"/>
        </w:rPr>
        <w:t xml:space="preserve">6. Hawking, S. W. (1975). Particle creation by black holes. Commun. Math. Phys. 43, 199.</w:t>
      </w:r>
    </w:p>
    <w:p>
      <w:pPr>
        <w:spacing w:after="40" w:line="288"/>
        <w:ind w:left="360" w:hanging="360"/>
        <w:jc w:val="left"/>
      </w:pPr>
      <w:r>
        <w:rPr>
          <w:rFonts w:ascii="Times New Roman" w:hAnsi="Times New Roman"/>
          <w:color w:val="202020"/>
          <w:sz w:val="21"/>
          <w:szCs w:val="21"/>
        </w:rPr>
        <w:t xml:space="preserve">7. Page, D. N. (1993). Average entropy of a subsystem. Phys. Rev. Lett. 71, 1291.</w:t>
      </w:r>
    </w:p>
    <w:p>
      <w:pPr>
        <w:spacing w:after="40" w:line="288"/>
        <w:ind w:left="360" w:hanging="360"/>
        <w:jc w:val="left"/>
      </w:pPr>
      <w:r>
        <w:rPr>
          <w:rFonts w:ascii="Times New Roman" w:hAnsi="Times New Roman"/>
          <w:color w:val="202020"/>
          <w:sz w:val="21"/>
          <w:szCs w:val="21"/>
        </w:rPr>
        <w:t xml:space="preserve">8. Borsanyi, S. et al. (2020). Calculation of the axion mass based on high-temperature lattice quantum chromodynamics. Nature 539, 69.</w:t>
      </w:r>
    </w:p>
    <w:p>
      <w:pPr>
        <w:spacing w:after="40" w:line="288"/>
        <w:ind w:left="360" w:hanging="360"/>
        <w:jc w:val="left"/>
      </w:pPr>
      <w:r>
        <w:rPr>
          <w:rFonts w:ascii="Times New Roman" w:hAnsi="Times New Roman"/>
          <w:color w:val="202020"/>
          <w:sz w:val="21"/>
          <w:szCs w:val="21"/>
        </w:rPr>
        <w:t xml:space="preserve">9. Isaev, I. Kh. (2026). Collapse-Hawking Bridge v2.1.0 — the parent package.</w:t>
      </w:r>
    </w:p>
    <w:p>
      <w:pPr>
        <w:spacing w:after="40" w:line="288"/>
        <w:ind w:left="360" w:hanging="360"/>
        <w:jc w:val="left"/>
      </w:pPr>
      <w:r>
        <w:rPr>
          <w:rFonts w:ascii="Times New Roman" w:hAnsi="Times New Roman"/>
          <w:color w:val="202020"/>
          <w:sz w:val="21"/>
          <w:szCs w:val="21"/>
        </w:rPr>
        <w:t xml:space="preserve">10. PDG (2024). Review of Particle Physics.</w:t>
      </w:r>
    </w:p>
    <w:p>
      <w:pPr>
        <w:spacing w:after="40" w:line="288"/>
        <w:ind w:left="360" w:hanging="360"/>
        <w:jc w:val="left"/>
      </w:pPr>
      <w:r>
        <w:rPr>
          <w:rFonts w:ascii="Times New Roman" w:hAnsi="Times New Roman"/>
          <w:color w:val="202020"/>
          <w:sz w:val="21"/>
          <w:szCs w:val="21"/>
        </w:rPr>
        <w:t xml:space="preserve">11. Kirchhoff, G. (1876). Vorlesungen über mathematische Physik: Mechanik. Leipzig: Teubner.</w:t>
      </w:r>
    </w:p>
    <w:p>
      <w:pPr>
        <w:spacing w:after="40" w:line="288"/>
        <w:ind w:left="360" w:hanging="360"/>
        <w:jc w:val="left"/>
      </w:pPr>
      <w:r>
        <w:rPr>
          <w:rFonts w:ascii="Times New Roman" w:hAnsi="Times New Roman"/>
          <w:color w:val="202020"/>
          <w:sz w:val="21"/>
          <w:szCs w:val="21"/>
        </w:rPr>
        <w:t xml:space="preserve">12. Groebli, M. (1877). Spezielle Probleme der Bewegungslehre. Bern.</w:t>
      </w:r>
    </w:p>
    <w:p>
      <w:pPr>
        <w:spacing w:after="40" w:line="288"/>
        <w:ind w:left="360" w:hanging="360"/>
        <w:jc w:val="left"/>
      </w:pPr>
      <w:r>
        <w:rPr>
          <w:rFonts w:ascii="Times New Roman" w:hAnsi="Times New Roman"/>
          <w:color w:val="202020"/>
          <w:sz w:val="21"/>
          <w:szCs w:val="21"/>
        </w:rPr>
        <w:t xml:space="preserve">13. Aref, H. (1979). Motion of three vortices revisited. Phys. Fluids 22, 393.</w:t>
      </w:r>
    </w:p>
    <w:p>
      <w:pPr>
        <w:spacing w:after="40" w:line="288"/>
        <w:ind w:left="360" w:hanging="360"/>
        <w:jc w:val="left"/>
      </w:pPr>
      <w:r>
        <w:rPr>
          <w:rFonts w:ascii="Times New Roman" w:hAnsi="Times New Roman"/>
          <w:color w:val="202020"/>
          <w:sz w:val="21"/>
          <w:szCs w:val="21"/>
        </w:rPr>
        <w:t xml:space="preserve">14. Synge, J. L. (1949). On the motion of three vortices. Can. J. Math. 1, 257.</w:t>
      </w:r>
    </w:p>
    <w:p>
      <w:pPr>
        <w:spacing w:after="40" w:line="288"/>
        <w:ind w:left="360" w:hanging="360"/>
        <w:jc w:val="left"/>
      </w:pPr>
      <w:r>
        <w:rPr>
          <w:rFonts w:ascii="Times New Roman" w:hAnsi="Times New Roman"/>
          <w:color w:val="202020"/>
          <w:sz w:val="21"/>
          <w:szCs w:val="21"/>
        </w:rPr>
        <w:t xml:space="preserve">15. Chaplygin, S. A. (1899-1904). On the motion of vortices (the classical three-vortex cases).</w:t>
      </w:r>
    </w:p>
    <w:sectPr>
      <w:headerReference w:type="default" r:id="rId9"/>
      <w:footerReference w:type="default" r:id="rId10"/>
      <w:type w:val="nextPage"/>
      <w:pgSz w:w="11906" w:h="16838" w:orient="portrait"/>
      <w:pgMar w:top="1300" w:right="1400" w:bottom="1300" w:left="150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color w:val="6B6455"/>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color w:val="6B64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6" w:space="4"/>
      </w:pBdr>
      <w:jc w:val="center"/>
    </w:pPr>
    <w:r>
      <w:rPr>
        <w:rFonts w:ascii="Times New Roman" w:hAnsi="Times New Roman"/>
        <w:color w:val="6B6455"/>
        <w:sz w:val="18"/>
        <w:szCs w:val="18"/>
      </w:rPr>
      <w:t xml:space="preserve">The Quark-Hawking Bridge. Volume I: The Theorems</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5C0" w:sz="6" w:space="4"/>
      </w:pBdr>
      <w:jc w:val="center"/>
    </w:pPr>
    <w:r>
      <w:rPr>
        <w:rFonts w:ascii="Times New Roman" w:hAnsi="Times New Roman"/>
        <w:color w:val="6B6455"/>
        <w:sz w:val="18"/>
        <w:szCs w:val="18"/>
      </w:rPr>
      <w:t xml:space="preserve">The Quark-Hawking Bridge. Volume I: The Theorems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color w:val="20202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Times New Roman" w:hAnsi="Times New Roman"/>
      <w:b/>
      <w:bCs/>
      <w:color w:val="1A1A1A"/>
      <w:sz w:val="32"/>
      <w:szCs w:val="32"/>
    </w:rPr>
  </w:style>
  <w:style w:type="paragraph" w:styleId="Heading2">
    <w:pPr>
      <w:outlineLvl w:val="1"/>
    </w:pPr>
    <w:name w:val="Heading 2"/>
    <w:basedOn w:val="Normal"/>
    <w:next w:val="Normal"/>
    <w:qFormat/>
    <w:rPr>
      <w:color w:val="2E74B5"/>
      <w:sz w:val="26"/>
      <w:szCs w:val="26"/>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Quark-Hawking Bridge. Volume I: The Theorems (v1.2.0)</dc:title>
  <dc:creator>Isaev, Ishak Khamzatovich; wild8highlander</dc:creator>
  <dc:description>Quark-Hawking Bridge v1.2.0</dc:description>
  <cp:lastModifiedBy>Un-named</cp:lastModifiedBy>
  <cp:revision>1</cp:revision>
  <dcterms:created xsi:type="dcterms:W3CDTF">2026-10-09T22:17:29.417Z</dcterms:created>
  <dcterms:modified xsi:type="dcterms:W3CDTF">2026-10-09T22:17:29.418Z</dcterms:modified>
</cp:coreProperties>
</file>

<file path=docProps/custom.xml><?xml version="1.0" encoding="utf-8"?>
<Properties xmlns="http://schemas.openxmlformats.org/officeDocument/2006/custom-properties" xmlns:vt="http://schemas.openxmlformats.org/officeDocument/2006/docPropsVTypes"/>
</file>