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</w:tcPr>
          <w:p>
            <w:pPr>
              <w:pBdr>
                <w:top w:val="single" w:color="C9A84C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 w:hAnsi="Calibri"/>
                <w:color w:val="C9A84C"/>
                <w:spacing w:val="40"/>
                <w:sz w:val="18"/>
                <w:szCs w:val="18"/>
              </w:rPr>
              <w:t xml:space="preserve">T  H  E  O  R  E  M  S     V  O  L  U  M  E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Теоремы моста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«Коллапс–Хокинг»</w:t>
            </w:r>
          </w:p>
          <w:p>
            <w:pPr>
              <w:spacing w:after="800" w:line="340" w:lineRule="atLeast"/>
              <w:jc w:val="center"/>
            </w:pPr>
            <w:r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Формулировки, доказательства и зафиксированная верификация десяти количественных утверждений</w:t>
            </w:r>
          </w:p>
          <w:p>
            <w:pPr>
              <w:spacing w:before="600"/>
            </w:pP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Пакет: Collapse-Hawking Bridge v2.1.0 (издание согласования с IVP-15)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Кампании: C1 · C2 · C3 · C3b · C6 (закон дрейфа)</w:t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/>
                <w:color w:val="90989F"/>
                <w:sz w:val="26"/>
                <w:szCs w:val="26"/>
              </w:rPr>
              <w:t xml:space="preserve">Верификация: 63 pytest · 7/7 mpmath (dps=50) · близнецы 7,1e-13 · аудит IVP-15</w:t>
            </w:r>
          </w:p>
          <w:p>
            <w:pPr>
              <w:spacing w:before="1400"/>
            </w:pPr>
          </w:p>
          <w:p>
            <w:pPr>
              <w:pBdr>
                <w:bottom w:val="single" w:color="C9A84C" w:sz="18" w:space="20"/>
              </w:pBdr>
              <w:spacing w:after="120" w:before="200"/>
              <w:ind w:left="1000" w:right="1000"/>
            </w:pP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color w:val="687078"/>
                <w:sz w:val="18"/>
                <w:szCs w:val="18"/>
              </w:rPr>
              <w:t xml:space="preserve">Приложение к монографии · Русская редакция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 w:line="400" w:lineRule="atLeast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Введение и статус утверждений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">
            <w:r>
              <w:t xml:space="preserve">2. Обозначения и определения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">
            <w:r>
              <w:t xml:space="preserve">3. T1 — точная доля времени Пейджа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4">
            <w:r>
              <w:t xml:space="preserve">3.1. Условия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5">
            <w:r>
              <w:t xml:space="preserve">3.2. Доказательство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6">
            <w:r>
              <w:t xml:space="preserve">3.3. Верификация и статус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7">
            <w:r>
              <w:t xml:space="preserve">4. T2 — единственность точки контакта с реликтовым излучением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8">
            <w:r>
              <w:t xml:space="preserve">4.1. Условия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9">
            <w:r>
              <w:t xml:space="preserve">4.2. Доказательство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0">
            <w:r>
              <w:t xml:space="preserve">4.3. Верификация и статус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1">
            <w:r>
              <w:t xml:space="preserve">5. T3 — септинная константа и её семейство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2">
            <w:r>
              <w:t xml:space="preserve">5.1. Доказательство тождества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3">
            <w:r>
              <w:t xml:space="preserve">5.2. О статусе сравнения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4">
            <w:r>
              <w:t xml:space="preserve">6. T4 — сходимость второго порядка движка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5">
            <w:r>
              <w:t xml:space="preserve">6.1. Условия и метод измерения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6">
            <w:r>
              <w:t xml:space="preserve">6.2. Верификация и статус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17">
            <w:r>
              <w:t xml:space="preserve">7. T5 — закон массового пола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8">
            <w:r>
              <w:t xml:space="preserve">7.1. Данные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19">
            <w:r>
              <w:t xml:space="preserve">7.2. Интерпретация и границы действия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0">
            <w:r>
              <w:t xml:space="preserve">8. T6 — якорное произведение Δ·γ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1">
            <w:r>
              <w:t xml:space="preserve">8.1. Разделение уровней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2">
            <w:r>
              <w:t xml:space="preserve">8.2. Что изменил бы движковый зачёт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3">
            <w:r>
              <w:t xml:space="preserve">9. T7 — докритическая монотонность и логарифмическое замедление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4">
            <w:r>
              <w:t xml:space="preserve">9.1. Монотонность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5">
            <w:r>
              <w:t xml:space="preserve">9.2. Замедление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6">
            <w:r>
              <w:t xml:space="preserve">9.3. Статус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27">
            <w:r>
              <w:t xml:space="preserve">10. T8 — граница накопления эхо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8">
            <w:r>
              <w:t xml:space="preserve">10.1. Содержание утверждения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29">
            <w:r>
              <w:t xml:space="preserve">10.2. Границы действия и честные оговорки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0">
            <w:r>
              <w:t xml:space="preserve">11. T9 — половина энтропии в момент Пейджа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1">
            <w:r>
              <w:t xml:space="preserve">11.1. Доказательство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2">
            <w:r>
              <w:t xml:space="preserve">11.2. Верификация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3">
            <w:r>
              <w:t xml:space="preserve">12. T10 — закон дрейфа с разрешением (почему одна формула даёт разные значения)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4">
            <w:r>
              <w:t xml:space="preserve">12.1. Две точные леммы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5">
            <w:r>
              <w:t xml:space="preserve">12.2. Сдвиг порога и его измерение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8788" w:leader="dot"/>
            </w:tabs>
            <w:ind w:left="220"/>
          </w:pPr>
          <w:hyperlink w:history="1" w:anchor="_Toc36">
            <w:r>
              <w:t xml:space="preserve">12.3. Статус и честные негативы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7">
            <w:r>
              <w:t xml:space="preserve">13. Матрица верификации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8">
            <w:r>
              <w:t xml:space="preserve">14. Регистр честности и границы применимости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8788" w:leader="dot"/>
            </w:tabs>
          </w:pPr>
          <w:hyperlink w:history="1" w:anchor="_Toc39">
            <w:r>
              <w:t xml:space="preserve">15. Литература и источники пакета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кодах полей. После правок щёлкните по оглавлению правой кнопкой и выберите «Обновить поле», чтобы обновить номера страниц.</w:t>
      </w:r>
    </w:p>
    <w:p>
      <w:pPr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br w:type="page"/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" w:id="1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1. Введение и статус утверждений</w:t>
      </w:r>
      <w:bookmarkEnd w:id="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Настоящий том сводит воедино все количественные утверждения проекта «Мост „Коллапс–Хокинг“» в форме теорем с формулировками, доказательствами и зафиксированной верификацией. Нумерация T1–T10 сквозная и совпадает с нумерацией, на которую ссылаются каталог фигур, веб-приложение и энциклопедическое приложение к монографии. Каждая теорема снабжена явным статусом: «точно» (утверждение доказано алгебраически и зафиксировано в коде как замкнутая форма), «установлено численно» (утверждение проверено на зафиксированных прогонах и закреплено тестами), «выведено аналитически» (доказано для зафиксированной модели с машинной проверкой лемм и коэффициентами, измеренными на зафиксированных артефактах) или «сравнение» (утверждение сопоставляет величины проекта с литературными якорями и не претендует на вывод).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Разделение статусов — не формальность, а дисциплина честности, принятая во всём пакете: литературные значения служат якорями для сравнения, но никогда не являются целями подгонки; каждая машинная величина указывает файл-вердикт, из которого она взята; честные негативы (недостижимые на данной сетке экспоненты, неразрешённые эхо, невыводимый континуальный порог) сохраняются на равных правах с позитивными результатами. Поэтому среди десяти теорем есть и точные тождества, и численно установленные законы, и аналитически выведенный закон дрейфа (T10, добавлен в v2.1.0 по итогам независимого аудита IVP-15), и честно помеченные отрицательные результаты. Такой состав отражает реальное состояние исследования лучше, чем селективная подача только удачных итогов.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числа настоящего тома воспроизводимы тремя независимыми способами: (а) запуск кампаний воспроизводит вердикты байт-в-байт — подтверждено на v2.1.0: повторный прогон C1/C2/C3/C3b на выпусковой машине дал физику, идентичную зафиксированной до последней цифры; (б) набор из 63 pytest-тестов закрепляет каждое число как pin-значение, включая три pin-теста вердикта C6; (в) высокоточная проверка mpmath (dps=50) воспроизводит семь точных соотношений командой python3 -m chbridge.validate. Кроме того, тройня близнецов multilang (JavaScript, C++, C) воспроизводит замкнутые формы с максимальным относительным расхождением 7,1e-13, а независимый протокол IVP-15 (слепые перемеры, чистые установки, символьные остатки SymPy) удерживает весь пакет на внешнем источнике истины. Таким образом, любой читатель может проверить настоящий том, не доверяя ни одному слову его текста.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" w:id="2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2. Обозначения и определения</w:t>
      </w:r>
      <w:bookmarkEnd w:id="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Под «движком» понимается двойной характеристический маршевый решатель уравнений Эйнштейна в сферически-симметричной геометрии (задача Гурса, схема RK2-Хойн, 4πG = 1, κ = 2) из каталога engine/. Семейство начальных профилей задаётся параметрами u0, v_p, σ, v0; амплитуда A масштабирует профиль, а критическая амплитуда A* отделяет коллапс от дисперсии. Безразмерное расстояние от порога определяется как ε = |A − A*|; на докритической ветви ε = A* − A, на сверхкритической ε = A − A*.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Через Δ обозначен период эхо-осцилляций вблизи критической точки (литературный якорь Gundlach–Hodgson Δ = 3,44 ± 0,02), через γ_Ch = 0,374 — литературный якорь показателя массового скейлинга семейства Чоптуика. Септинная константа b_Ch = 1 − cos(2π/7) — точное число семейства фаз δ ∈ {π/2, π/3, π/7}; её роль в проекте — сравнительная. Термодинамическая сторона моста использует замкнутые формы Шварцшильда в константах CODATA-2018: T_H(M), S_BH(M), P_H(M), t_evap(M); модель потока энтропии Пейджа и её точная доля τ* = 1 − 2^(−3/2) определены в chbridge/hawking.py и chbridge/page.py.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Все массы движка указываются в «кодовых» единицах (геометрические единицы движка); массы моста — в килограммах SI. Переход между ними осуществляется монотонным отображением M_BH = M_in · f~(ε), где f~(ε) — измеренная доля насыщения, нормированная на насыщенную массу той же развёртки. Полный словарь величин дан в энциклопедическом приложении (часть VII); здесь мы фиксируем лишь те обозначения, которые встречаются в формулировках.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" w:id="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3. T1 — точная доля времени Пейджа</w:t>
      </w:r>
      <w:bookmarkEnd w:id="3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T1.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В унитарной модели потока энтропии с крупнозернистой энтропией чёрной дыры S_BH(t) = S0·(1 − t/t_evap)^{2/3} смена ветвей энтропии излучения происходит в момент τ* = 1 − 2^(−3/2) ≈ 0,6464466094 доли времени испарения.</w:t>
      </w:r>
    </w:p>
    <w:p>
      <w:pPr>
        <w:pStyle w:val="Heading2"/>
        <w:spacing w:after="120" w:before="280" w:line="360" w:lineRule="atLeast"/>
      </w:pPr>
      <w:bookmarkStart w:name="_Toc4" w:id="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3.1. Условия</w:t>
      </w:r>
      <w:bookmarkEnd w:id="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Модель задаёт энтропию излучения кусочно: S_rad(t) = S_BH(t) при t &lt; t_Page (молодая дыра: доминирует запутанность с внутренней степенью свободы) и S_rad(t) = S0 − S_BH(t) при t &gt; t_Page (старая дыра: побеждает изометрия, энтропия излучения стремится к S0). Момент смены ветвей — точка непрерывного сопряжения, в которой обе ветви дают одинаковое значение энтропии.</w:t>
      </w:r>
    </w:p>
    <w:p>
      <w:pPr>
        <w:pStyle w:val="Heading2"/>
        <w:spacing w:after="120" w:before="280" w:line="360" w:lineRule="atLeast"/>
      </w:pPr>
      <w:bookmarkStart w:name="_Toc5" w:id="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3.2. Доказательство</w:t>
      </w:r>
      <w:bookmarkEnd w:id="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Приравняем две ветви: (1 − τ)^{2/3} = 1 − (1 − τ)^{2/3}, где τ = t/t_evap. Отсюда (1 − τ)^{2/3} = 1/2, то есть 1 − τ = 2^{−3/2} и τ* = 1 − 2^{−3/2}. Численно 2^{−3/2} = 0,3535533906…, поэтому τ* = 0,6464466094067262… Единственность следует из строгой монотонности функции (1 − τ)^{2/3} по τ ∈ [0, 1]: левая часть убывает от 1 до 0, правая растёт от 0 до 1, пересечение ровно одно.</w:t>
      </w:r>
    </w:p>
    <w:p>
      <w:pPr>
        <w:spacing w:after="140" w:before="120" w:line="360" w:lineRule="atLeast"/>
        <w:jc w:val="center"/>
      </w:pPr>
      <m:oMath>
        <m:sSup>
          <m:sSupPr/>
          <m:e>
            <m:r>
              <m:t>(1 − τ)</m:t>
            </m:r>
          </m:e>
          <m:sup>
            <m:r>
              <m:t>2/3</m:t>
            </m:r>
          </m:sup>
        </m:sSup>
        <m:r>
          <m:t xml:space="preserve"> =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 xml:space="preserve">   ⟺   τ* = 1 − </m:t>
        </m:r>
        <m:sSup>
          <m:sSupPr/>
          <m:e>
            <m:r>
              <m:t>2</m:t>
            </m:r>
          </m:e>
          <m:sup>
            <m:r>
              <m:t>−3/2</m:t>
            </m:r>
          </m:sup>
        </m:sSup>
        <m:r>
          <m:t xml:space="preserve"> = 0,6464466…</m:t>
        </m:r>
      </m:oMath>
      <w:r>
        <w:rPr>
          <w:rFonts w:ascii="Times New Roman" w:cs="Times New Roman" w:eastAsia="Times New Roman" w:hAnsi="Times New Roman"/>
          <w:color w:val="505050"/>
          <w:sz w:val="20"/>
          <w:szCs w:val="20"/>
        </w:rPr>
        <w:t xml:space="preserve">   (3.1)</w:t>
      </w:r>
    </w:p>
    <w:p>
      <w:pPr>
        <w:pStyle w:val="Heading2"/>
        <w:spacing w:after="120" w:before="280" w:line="360" w:lineRule="atLeast"/>
      </w:pPr>
      <w:bookmarkStart w:name="_Toc6" w:id="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3.3. Верификация и статус</w:t>
      </w:r>
      <w:bookmarkEnd w:id="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Константа PAGE_FRACTION = 1 − 2^(−3/2) зафиксирована в chbridge/hawking.py как замкнутая форма и закреплена тестами test_page.py; проверка mpmath при dps=50 подтверждает значение до 49 значащих цифр. Кривые Пейджа трёх членов ансамбля (f~ = 0,2877 / 0,2684 / 1,0) построены в data/bridge/page_curve_grid.csv (720 строк) и визуализированы в фигурах fig_page и hq_16. Статус: точно.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3.1. Кривые Пейджа ансамбля рождения; пунктир — точная доля τ* = 1 − 2^(−3/2).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7" w:id="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4. T2 — единственность точки контакта с реликтовым излучением</w:t>
      </w:r>
      <w:bookmarkEnd w:id="7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T2.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Уравнение T_H(M) = T_CMB имеет единственное решение M_CMB = ħc³/(8πG·k_B·T_CMB) ≈ 4,5016·10²² кг ≈ 0,61 массы Луны; при M &gt; M_CMB дыра горячее фона и испаряется, при M &lt; M_CMB — холоднее и растёт.</w:t>
      </w:r>
    </w:p>
    <w:p>
      <w:pPr>
        <w:pStyle w:val="Heading2"/>
        <w:spacing w:after="120" w:before="280" w:line="360" w:lineRule="atLeast"/>
      </w:pPr>
      <w:bookmarkStart w:name="_Toc8" w:id="8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4.1. Условия</w:t>
      </w:r>
      <w:bookmarkEnd w:id="8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Температура Хокинга нейтральной невращающейся дыры T_H(M) = ħc³/(8πG·k_B·M) — точная замкнутая форма в константах CODATA-2018; T_CMB = 2,72548 К — измеренная температура реликтового излучения (COBE/FIRAS). Обе величины рассматриваются в вакуумной идеализации Шварцшильда без учёта аккреции и космологического расширения.</w:t>
      </w:r>
    </w:p>
    <w:p>
      <w:pPr>
        <w:pStyle w:val="Heading2"/>
        <w:spacing w:after="120" w:before="280" w:line="360" w:lineRule="atLeast"/>
      </w:pPr>
      <w:bookmarkStart w:name="_Toc9" w:id="9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4.2. Доказательство</w:t>
      </w:r>
      <w:bookmarkEnd w:id="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Функция T_H(M) = K/M с положительной константой K = ħc³/(8πG·k_B) строго убывает по M &gt; 0 от +∞ до 0. По теореме о промежуточном значении для любой T_CMB ∈ (0, ∞) существует единственное M_CMB = K/T_CMB. Подстановка измеренного значения даёт M_CMB = 4,501595·10²² кг. Знак теплового баланса меняется в этой точке: P_net = P_H − P_abs при фоновом поглощении пропорционален T_H⁴ − T_CMB⁴, что меняет знак в той же точке в силу монотонности четвёртой степени.</w:t>
      </w:r>
    </w:p>
    <w:p>
      <w:pPr>
        <w:spacing w:after="140" w:before="120" w:line="360" w:lineRule="atLeast"/>
        <w:jc w:val="center"/>
      </w:pPr>
      <m:oMath>
        <m:sSub>
          <m:sSubPr/>
          <m:e>
            <m:r>
              <m:t>M</m:t>
            </m:r>
          </m:e>
          <m:sub>
            <m:r>
              <m:t>CMB</m:t>
            </m:r>
          </m:sub>
        </m:sSub>
        <m:r>
          <m:t xml:space="preserve"> = </m:t>
        </m:r>
        <m:f>
          <m:num>
            <m:r>
              <m:t>ℏc</m:t>
            </m:r>
            <m:sSup>
              <m:sSupPr/>
              <m:e>
                <m:r>
                  <m:t/>
                </m:r>
              </m:e>
              <m:sup>
                <m:r>
                  <m:t>3</m:t>
                </m:r>
              </m:sup>
            </m:sSup>
          </m:num>
          <m:den>
            <m:r>
              <m:t>8πG·k</m:t>
            </m:r>
            <m:sSub>
              <m:sSubPr/>
              <m:e>
                <m:r>
                  <m:t/>
                </m:r>
              </m:e>
              <m:sub>
                <m:r>
                  <m:t>B</m:t>
                </m:r>
              </m:sub>
            </m:sSub>
            <m:r>
              <m:t>·T</m:t>
            </m:r>
            <m:sSub>
              <m:sSubPr/>
              <m:e>
                <m:r>
                  <m:t/>
                </m:r>
              </m:e>
              <m:sub>
                <m:r>
                  <m:t>CMB</m:t>
                </m:r>
              </m:sub>
            </m:sSub>
          </m:den>
        </m:f>
        <m:r>
          <m:t xml:space="preserve"> ≈ 4,5016·</m:t>
        </m:r>
        <m:sSup>
          <m:sSupPr/>
          <m:e>
            <m:r>
              <m:t>10</m:t>
            </m:r>
          </m:e>
          <m:sup>
            <m:r>
              <m:t>22</m:t>
            </m:r>
          </m:sup>
        </m:sSup>
        <m:r>
          <m:t xml:space="preserve"> кг</m:t>
        </m:r>
      </m:oMath>
      <w:r>
        <w:rPr>
          <w:rFonts w:ascii="Times New Roman" w:cs="Times New Roman" w:eastAsia="Times New Roman" w:hAnsi="Times New Roman"/>
          <w:color w:val="505050"/>
          <w:sz w:val="20"/>
          <w:szCs w:val="20"/>
        </w:rPr>
        <w:t xml:space="preserve">   (4.1)</w:t>
      </w:r>
    </w:p>
    <w:p>
      <w:pPr>
        <w:pStyle w:val="Heading2"/>
        <w:spacing w:after="120" w:before="280" w:line="360" w:lineRule="atLeast"/>
      </w:pPr>
      <w:bookmarkStart w:name="_Toc10" w:id="10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4.3. Верификация и статус</w:t>
      </w:r>
      <w:bookmarkEnd w:id="10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Функция equal_CMB_mass() воспроизводит (4.1) из констант Part A модуля constants.py; значение закреплено pytest-тестом и входит в колонку T_H_over_T_CMB таблицы bridge_master.csv, где строка «CMB input» по построению даёт отношение, равное единице. Контактная масса — единственная точка, где дыра «на руку» с реликтовым фоном, и она же служит естественной шкалой-разделителем в лестнице масштабов проекта. Статус: точно (в рамках идеализации Шварцшильда; сама идеализация задокументирована в docs/methods.md).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1" w:id="11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5. T3 — септинная константа и её семейство</w:t>
      </w:r>
      <w:bookmarkEnd w:id="11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T3.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b_Ch = 1 − cos(2π/7) = 2·sin²(π/7) = 0,37651019814126640; в семействе b(δ) = 1 − cos(2δ) при δ ∈ {π/2, π/3, π/7} константа строго убывает: b(π/2) = 2, b(π/3) = 3/2, b(π/7) ≈ 0,3765; отклонение литературного якоря γ_Ch = 0,374 от b_Ch составляет 0,67 %.</w:t>
      </w:r>
    </w:p>
    <w:p>
      <w:pPr>
        <w:pStyle w:val="Heading2"/>
        <w:spacing w:after="120" w:before="280" w:line="360" w:lineRule="atLeast"/>
      </w:pPr>
      <w:bookmarkStart w:name="_Toc12" w:id="12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5.1. Доказательство тождества</w:t>
      </w:r>
      <w:bookmarkEnd w:id="1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Тождество 1 − cos(2x) = 2·sin²(x) — стандартное следствие формулы двойного угла; при x = π/7 получаем b_Ch = 2·sin²(π/7). Монотонность семейства: производная b′(δ) = 2·sin(2δ) положительна на δ ∈ (0, π/2), поэтому b возрастает по δ, а вдоль убывающей последовательности δ ∈ {π/2, π/3, π/7} значения b строго убывают. Численные значения: b(π/2) = 1 − cos π = 2; b(π/3) = 1 − cos(2π/3) = 3/2; b(π/7) = 0,37651019814126640 (проверено mpmath при dps=50).</w:t>
      </w:r>
    </w:p>
    <w:p>
      <w:pPr>
        <w:pStyle w:val="Heading2"/>
        <w:spacing w:after="120" w:before="280" w:line="360" w:lineRule="atLeast"/>
      </w:pPr>
      <w:bookmarkStart w:name="_Toc13" w:id="13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5.2. О статусе сравнения</w:t>
      </w:r>
      <w:bookmarkEnd w:id="13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Совпадение b_Ch с якорем массового скейлинга γ_Ch = 0,374 с точностью 0,67 % — это сравнение, а не теорема о совпадении: проект явно отказывается claim-ить вывод константы γ из септинной геометрии. Роль T3 в пакете — фиксация точного значения и его семейства для последующих кампаний (в частности, C4 по QNM-коррекции ω → ω(1 − 1/(1200π²))). Статус: тождество — точно; интерпретация — сравнение с явной пометкой в регистре честности.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5.1. Спектр рождения и якорь γ_Ch = 0,374; септинная константа b_Ch = 0,37651 лежит в пределах 0,67 % от якоря.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4" w:id="14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6. T4 — сходимость второго порядка движка</w:t>
      </w:r>
      <w:bookmarkEnd w:id="14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T4.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На точном решении Робертса–Оширо ошибка движка |max|r − r_exact|| убывает с порядком p = 2,031 при N: 200 → 400 и p = 2,093 при N: 400 → 800, что совместимо со вторым порядком схемы RK2-Хойн.</w:t>
      </w:r>
    </w:p>
    <w:p>
      <w:pPr>
        <w:pStyle w:val="Heading2"/>
        <w:spacing w:after="120" w:before="280" w:line="360" w:lineRule="atLeast"/>
      </w:pPr>
      <w:bookmarkStart w:name="_Toc15" w:id="1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6.1. Условия и метод измерения</w:t>
      </w:r>
      <w:bookmarkEnd w:id="1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Решатель проходит задачу Гурса на характеристической сетке N×N; в качестве эталона берётся точное решение Робертса–Оширо, для которого ошибка max|r − r_exact| вычисляется на каждой сетке. Порядок сходимости оценивается стандартно: p = log₂(E(N/2)/E(N)). Замер выполнен на трёх сетках, зафиксирован в c1_verdict.json (поле validation) и закреплён тестом test_engine.py.</w:t>
      </w:r>
    </w:p>
    <w:p>
      <w:pPr>
        <w:pStyle w:val="Heading2"/>
        <w:spacing w:after="120" w:before="280" w:line="360" w:lineRule="atLeast"/>
      </w:pPr>
      <w:bookmarkStart w:name="_Toc16" w:id="1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6.2. Верификация и статус</w:t>
      </w:r>
      <w:bookmarkEnd w:id="1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Значения 2,031 и 2,093 лежат в пределах 5 % от номинала 2, что типично для схем второго порядка на умеренных сетках с нелинейным членом. Гипотеза второго порядка также видна на фигуре hq_17: экспериментальные точки ложатся на направляющую с наклоном −2. Отклонение порядка выше двух на мелкой паре сеток (2,093) объяснимо вкладом членов высших порядков ошибки и не требует отдельной гипотезы. Статус: установлено численно, закреплено тестом.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194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6.1. Валидация Робертса–Оширо: ошибка против N и направляющая наклона −2.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17" w:id="1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7. T5 — закон массового пола</w:t>
      </w:r>
      <w:bookmarkEnd w:id="17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T5.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Минимально разрешаемая масса движка подчиняется закону 1/N: floor_M(N) = c/N с измеренным предмножителем c = 12,4 / 13,7 / 13,6 при N = 800 / 1600 / 3200 (кодовые единицы), то есть floor_M ≈ (13 ± 1)/N; отношение полов за удвоение — 1,81 и 2,02 против идеальной 2, а формулировка v2.0.0 «12/N с точностью ±7 %» унаследовала долремедиационные полы и исправлена.</w:t>
      </w:r>
    </w:p>
    <w:p>
      <w:pPr>
        <w:pStyle w:val="Heading2"/>
        <w:spacing w:after="120" w:before="280" w:line="360" w:lineRule="atLeast"/>
      </w:pPr>
      <w:bookmarkStart w:name="_Toc18" w:id="18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7.1. Данные</w:t>
      </w:r>
      <w:bookmarkEnd w:id="18"/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7.1. Лестница массового пола (C1 + C3b, значения по сеткам после F-2)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1582"/>
        <w:gridCol w:w="2812"/>
        <w:gridCol w:w="2109"/>
        <w:gridCol w:w="2285"/>
      </w:tblGrid>
      <w:tr>
        <w:trPr>
          <w:cantSplit/>
          <w:tblHeader/>
        </w:trPr>
        <w:tc>
          <w:tcPr>
            <w:tcW w:type="pct" w:w="9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N</w:t>
            </w:r>
          </w:p>
        </w:tc>
        <w:tc>
          <w:tcPr>
            <w:tcW w:type="pct" w:w="16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floor_M (измерен)</w:t>
            </w:r>
          </w:p>
        </w:tc>
        <w:tc>
          <w:tcPr>
            <w:tcW w:type="pct" w:w="12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c = floor × N</w:t>
            </w:r>
          </w:p>
        </w:tc>
        <w:tc>
          <w:tcPr>
            <w:tcW w:type="pct" w:w="13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отклонение от 12/N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0,0155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12,4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+3,3 %</w:t>
            </w:r>
          </w:p>
        </w:tc>
      </w:tr>
      <w:tr>
        <w:trPr>
          <w:cantSplit/>
        </w:trPr>
        <w:tc>
          <w:tcPr>
            <w:tcW w:type="pct" w:w="9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1600</w:t>
            </w:r>
          </w:p>
        </w:tc>
        <w:tc>
          <w:tcPr>
            <w:tcW w:type="pct" w:w="16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0,008574765</w:t>
            </w:r>
          </w:p>
        </w:tc>
        <w:tc>
          <w:tcPr>
            <w:tcW w:type="pct" w:w="12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13,7</w:t>
            </w:r>
          </w:p>
        </w:tc>
        <w:tc>
          <w:tcPr>
            <w:tcW w:type="pct" w:w="13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+14,3 %</w:t>
            </w:r>
          </w:p>
        </w:tc>
      </w:tr>
      <w:tr>
        <w:trPr>
          <w:cantSplit/>
        </w:trPr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3200</w:t>
            </w:r>
          </w:p>
        </w:tc>
        <w:tc>
          <w:tcPr>
            <w:tcW w:type="pct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0,004244867</w:t>
            </w:r>
          </w:p>
        </w:tc>
        <w:tc>
          <w:tcPr>
            <w:tcW w:type="pct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13,6</w:t>
            </w:r>
          </w:p>
        </w:tc>
        <w:tc>
          <w:tcPr>
            <w:tcW w:type="pct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+13,2 %</w:t>
            </w:r>
          </w:p>
        </w:tc>
      </w:tr>
    </w:tbl>
    <w:p>
      <w:pPr>
        <w:pStyle w:val="Heading2"/>
        <w:spacing w:after="120" w:before="280" w:line="360" w:lineRule="atLeast"/>
      </w:pPr>
      <w:bookmarkStart w:name="_Toc19" w:id="19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7.2. Интерпретация и границы действия</w:t>
      </w:r>
      <w:bookmarkEnd w:id="1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 возникает из разрешимости профиля: при фиксированном N коллапсирующий пакет ниже некоторой массы не успевает сформировать горизонт до выхода за границы расчётной области, и движение останавливается по полу. Несущим утверждением является скейлинг: отношения долремедиационных полов за удвоение (1,81 и 2,02) охватывают идеальную двойку точного закона 1/N без тренда к насыщению или обвалу. Предмножитель, напротив, зависит от определения — от того, куда попадают узлы развёртки относительно пола, — поэтому закон сформулирован с полосой (13 ± 1)/N, а не с единственной константой. Предмножитель 12 из v2.0.0 (отклонения в пределах 7 %) вычислен по долремедиационным полам (7,104e-3 / 3,842e-3), чья ось ε была смещена на +2,8e-3 (находка аудита F-2); исправленные значения зафиксированы в вердикте C3b и закреплены тестами.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Границы действия существенны: закон установлен на отрезке N ∈ [800, 3200] по трём зафиксированным точкам; экстраполяция на N &gt; 3200 или на другие семейства профилей без новой кампании запрещена дисциплиной пакета. Именно пол, а не физика, определяет достижимость якоря γ_Ch на фиксированных и концентрированных сетках — это предмет честных негативов T6/T7 и явная цель движковой дорожной карты (AMR). Пороговый двойник этого закона — дрейф самого A* с разрешением — составляет предмет теоремы T10. Статус: установлено численно; кампания C3b закрепила лестницу как результат первого класса.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7.1. Закон пола floor_M ≈ 12/N по трём сеткам; пунктир — огибающая 9,6/N и 14,4/N.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0" w:id="20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8. T6 — якорное произведение Δ·γ</w:t>
      </w:r>
      <w:bookmarkEnd w:id="20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T6.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Произведение литературных якорей Δ·γ = 3,44 × 0,374 = 1,28656 лежит в замороженном допуске 1,27 ± 0,05 (отклонение 1,3 %) — классифицировано на v2.2.0 как ANCHOR_ARITHMETIC: утверждение о согласованности собственных якорей проекта, НЕ измерение; движковый уровень остаётся честно INCONCLUSIVE.</w:t>
      </w:r>
    </w:p>
    <w:p>
      <w:pPr>
        <w:pStyle w:val="Heading2"/>
        <w:spacing w:after="120" w:before="280" w:line="360" w:lineRule="atLeast"/>
      </w:pPr>
      <w:bookmarkStart w:name="_Toc21" w:id="21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8.1. Разделение уровней</w:t>
      </w:r>
      <w:bookmarkEnd w:id="2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Якорный уровень — арифметика над двумя литературными константами: она точна и воспроизводима (3,44 × 0,374 = 1,28656 с точностью до округления второго множителя). Движковый уровень — собственное измерение Δ и γ нашим решателем: на фиксированных сетках γ не измеряем (пол сетки, см. T5), а на концентрированных сетках N = 1600/3200 долремедиационные фиты по порогам каждой сетки определяются полом — γ_eff = 0,041 / 0,060 при r² = 0,33 / 0,41, — а Δ не разрешается (менее трёх пиков) вплоть до N = 3200. Заявление v2.0.0 о «стабилизации γ_eff около 0,12» было артефактом измерения ε от порога N=800 на глубоких сетках (находка аудита F-2, IVP-11) и отозвано; зафиксированы исправленные значения. Допуск T6 был выбран пост-фактум в v1.x и ЗАМОРОЖЕН решением PREREGISTRATION.md начиная с v2.2.0; якорное произведение поэтому классифицировано как ANCHOR_ARITHMETIC — оно относится к якорной арифметике, а не к движку, и больше никогда не подаётся как физический зачёт (различие проведено во всех артефактах: вердикт C3, RESULTS.md строка 12, фигура hq_12 и предрегистрированные критерии).</w:t>
      </w:r>
    </w:p>
    <w:p>
      <w:pPr>
        <w:pStyle w:val="Heading2"/>
        <w:spacing w:after="120" w:before="280" w:line="360" w:lineRule="atLeast"/>
      </w:pPr>
      <w:bookmarkStart w:name="_Toc22" w:id="22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8.2. Что изменил бы движковый зачёт</w:t>
      </w:r>
      <w:bookmarkEnd w:id="2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Движковый зачёт T6 стал бы возможен только после преодоления закона пола (T5) движковой модернизацией: истинный AMR с адаптацией к точке накопления либо гибрид с подвижной внутренней границей. Явные численные критерии ПРЕДРЕГИСТРИРОВАНЫ в PREREGISTRATION.md (v2.2.0, до следующего прогона движка): движковый γ, совместимый с 0,374 в пределах ±0,02 при r² ≥ 0,99 в полосе без пола, не менее трёх разрешённых эхо-пиков и замороженная цель произведения 1,27 ± 0,05. До тех пор T6 остаётся якорной арифметикой с честно помеченным INCONCLUSIVE на движковой стороне.</w:t>
      </w:r>
    </w:p>
    <w:p>
      <w:pPr>
        <w:spacing w:after="40" w:before="160"/>
        <w:jc w:val="center"/>
      </w:pPr>
      <w:r>
        <w:drawing>
          <wp:inline distT="0" distB="0" distL="0" distR="0">
            <wp:extent cx="4953000" cy="32099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8.1. Якорное произведение Δ·γ = 1,28656 против замороженной цели 1,27 ± 0,05 — внутри допуска с отклонением 1,3 % (ANCHOR_ARITHMETIC, не измерение).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3" w:id="2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9. T7 — докритическая монотонность и логарифмическое замедление</w:t>
      </w:r>
      <w:bookmarkEnd w:id="23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T7.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На измеренной полосе ε ∈ [6,3e-5, 6,3e-2] (13 прогонов) пиковая компактность q_max строго возрастает с уменьшением ε: 0,0158 → 0,5845 без единой инверсии; момент пика в нулевой координате подчиняется закону замедления v_qmax = a + b·ln(ε) с b = −0,0334 ± err и r² = 0,714.</w:t>
      </w:r>
    </w:p>
    <w:p>
      <w:pPr>
        <w:pStyle w:val="Heading2"/>
        <w:spacing w:after="120" w:before="280" w:line="360" w:lineRule="atLeast"/>
      </w:pPr>
      <w:bookmarkStart w:name="_Toc24" w:id="2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9.1. Монотонность</w:t>
      </w:r>
      <w:bookmarkEnd w:id="2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Последовательность q_max(ε) по 13 докритическим прогонам C2 строго возрастает при движении к порогу; ни одна пара соседних точек не образует инверсию. Три строки развёртки, помеченные flipped (смена знака амплитуды в раннем протоколе), сохранены в вердикте verbatim и исключены из фита явно — это единственное сокращение выборки, и оно задокументировано в JSON-вердикте.</w:t>
      </w:r>
    </w:p>
    <w:p>
      <w:pPr>
        <w:pStyle w:val="Heading2"/>
        <w:spacing w:after="120" w:before="280" w:line="360" w:lineRule="atLeast"/>
      </w:pPr>
      <w:bookmarkStart w:name="_Toc25" w:id="2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9.2. Замедление</w:t>
      </w:r>
      <w:bookmarkEnd w:id="2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Поскольку b &lt; 0, а ln(ε) → −∞ при ε → 0, момент пика v_qmax растёт логарифмически по мере приближения к критической амплитуде — классическая логарифмическая кинематика докритического приближения (DSS-тип). Абсолютные значения v_qmax дискретизованы инструментом: каждый прогон сэмплирует 40 снимков, что даёт ступеньки на диаграмме рассеяния; квантование зафиксировано в регистре честности как свойство прибора, а не физики.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3337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9.1. Критическое замедление: v_qmax против ln(ε); линия — зафиксированный фит.</w:t>
      </w:r>
    </w:p>
    <w:p>
      <w:pPr>
        <w:pStyle w:val="Heading2"/>
        <w:spacing w:after="120" w:before="280" w:line="360" w:lineRule="atLeast"/>
      </w:pPr>
      <w:bookmarkStart w:name="_Toc26" w:id="2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9.3. Статус</w:t>
      </w:r>
      <w:bookmarkEnd w:id="2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Оба утверждения T7 — «установлено численно»: монотонность закреплена тестом test_campaigns.py (pin на монотонность q_max), фит — pin на коэффициенты (b, a, r²). Экстраполяция закона за пределы измеренной полосы не заявляется.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27" w:id="2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10. T8 — граница накопления эхо</w:t>
      </w:r>
      <w:bookmarkEnd w:id="27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T8.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Скорость накопления эхо-пиков на докритической ветви dN_peaks/d ln(1/ε) = 0,1909 ± err (r² = 0,86) строго меньше критического якоря 1/Δ = 0,2907: отношение 0,657.</w:t>
      </w:r>
    </w:p>
    <w:p>
      <w:pPr>
        <w:pStyle w:val="Heading2"/>
        <w:spacing w:after="120" w:before="280" w:line="360" w:lineRule="atLeast"/>
      </w:pPr>
      <w:bookmarkStart w:name="_Toc28" w:id="28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10.1. Содержание утверждения</w:t>
      </w:r>
      <w:bookmarkEnd w:id="28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Эхо-пики считаются как локальные максимумы q(v) вдоль каждого прогона; регрессия по 13 точкам даёт 0,1909 пика на э-крат удаления от порога. Якорь 1/Δ = 1/3,44 = 0,2907 — это частота эхо в пределе критической точки по литературе. Неравенство 0,1909 &lt; 0,2907 означает, что на докритической ветви эхо-часы идут на треть медленнее критических — согласуется с тем, что дисперсия уносит часть времени осцилляций.</w:t>
      </w:r>
    </w:p>
    <w:p>
      <w:pPr>
        <w:pStyle w:val="Heading2"/>
        <w:spacing w:after="120" w:before="280" w:line="360" w:lineRule="atLeast"/>
      </w:pPr>
      <w:bookmarkStart w:name="_Toc29" w:id="29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10.2. Границы действия и честные оговорки</w:t>
      </w:r>
      <w:bookmarkEnd w:id="2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Замер выполнен на завершённых (рассеивающихся) прогонах, а не в непосредственной окрестности порога: на глубоком уровне ε &lt; 1e-3 число пиков падает ниже трёх и период перестаёт измеряться — это и есть честный негатив T6. Сравнение с якорем никогда не использовалось как цель фита (правило пакета «сравнения, не подгонки»). Статус: установлено численно; pin в test_campaigns.py; визуализация hq_08.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0" w:id="30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11. T9 — половина энтропии в момент Пейджа</w:t>
      </w:r>
      <w:bookmarkEnd w:id="30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T9.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В момент Пейджа нормированная энтропия излучения составляет ровно половину предельной: S_rad(τ*)/S0 = (2^{−3/2})^{2/3} = 2^{−1} = 1/2.</w:t>
      </w:r>
    </w:p>
    <w:p>
      <w:pPr>
        <w:pStyle w:val="Heading2"/>
        <w:spacing w:after="120" w:before="280" w:line="360" w:lineRule="atLeast"/>
      </w:pPr>
      <w:bookmarkStart w:name="_Toc31" w:id="31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11.1. Доказательство</w:t>
      </w:r>
      <w:bookmarkEnd w:id="31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Это прямое следствие T1: (1 − τ*)^{2/3} = (2^{−3/2})^{2/3} = 2^{−1} = 1/2. Красота утверждения в том, что точка сопряжения ветвей оказывается одновременно и точкой симметрии модели: энтропия излучения в момент Пейджа равна половине финальной вне зависимости от масштаба входной массы и от члена ансамбля f~. Именно поэтому кривые трёх членов ансамбля, нормированные на S0, пересекаются в одной точке (τ*, 1/2) — см. фигуру hq_16.</w:t>
      </w:r>
    </w:p>
    <w:p>
      <w:pPr>
        <w:pStyle w:val="Heading2"/>
        <w:spacing w:after="120" w:before="280" w:line="360" w:lineRule="atLeast"/>
      </w:pPr>
      <w:bookmarkStart w:name="_Toc32" w:id="32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11.2. Верификация</w:t>
      </w:r>
      <w:bookmarkEnd w:id="32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Значение воспроизводится всеми близнецами multilang (S_rad/S0(PAGE_FRACTION) = 0,50000000000000 во всех трёх проверенных реализациях), закреплено в page_curve_grid.csv (пересечение ветвей) и проверено mpmath-проверкой пакета. Статус: точно — следствие T1.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3" w:id="33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12. T10 — закон дрейфа с разрешением (почему одна формула даёт разные значения)</w:t>
      </w:r>
      <w:bookmarkEnd w:id="33"/>
    </w:p>
    <w:p>
      <w:pPr>
        <w:pBdr>
          <w:top w:val="single" w:color="DDD5C0" w:sz="1" w:space="4"/>
          <w:left w:val="single" w:color="C9A84C" w:sz="12" w:space="10"/>
          <w:bottom w:val="single" w:color="DDD5C0" w:sz="1" w:space="4"/>
        </w:pBdr>
        <w:shd w:fill="F5F2E8" w:val="clear"/>
        <w:spacing w:after="160" w:before="160" w:line="312"/>
        <w:ind w:left="200" w:right="120"/>
        <w:jc w:val="both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Теорема T10.  </w:t>
      </w:r>
      <w:r>
        <w:rPr>
          <w:rFonts w:ascii="Times New Roman" w:cs="Times New Roman" w:eastAsia="Times New Roman" w:hAnsi="Times New Roman"/>
          <w:i/>
          <w:iCs/>
          <w:color w:val="000000"/>
          <w:sz w:val="24"/>
          <w:szCs w:val="24"/>
        </w:rPr>
        <w:t xml:space="preserve">Критическая амплитуда на фиксированной сетке — наблюдаемая, зависящая от сетки: формула классификации, применённая к дискретизованным параболическим структурам, обязана возвращать разные значения при разном разрешении N, потому что выборка сплющивает пик компактности ровно на κh²/8 (худшее выравнивание; в среднем κh²/24) и укорачивает ломаную относительно непрерывной дуги. По теореме о неявной функции A*_N − A*_конт = κ*·α²h²/(8s) + O(h³), где κ* — натяжение профиля, s = dq_max/dA — чувствительность: дрейф СУЩЕСТВУЕТ, ПОЛОЖИТЕЛЕН, и лестница приближается к континуальному порогу сверху.</w:t>
      </w:r>
    </w:p>
    <w:p>
      <w:pPr>
        <w:pStyle w:val="Heading2"/>
        <w:spacing w:after="120" w:before="280" w:line="360" w:lineRule="atLeast"/>
      </w:pPr>
      <w:bookmarkStart w:name="_Toc34" w:id="34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12.1. Две точные леммы</w:t>
      </w:r>
      <w:bookmarkEnd w:id="34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Лемма A (сплющивание хордой). Локально параболический профиль q(x) = q_pk − κ(x − x₀)²/2, дискретизованный сеткой с шагом h, в кусочно-линейном (хордовом) представлении имеет пик в ближайшем узле: дефицит равен κδ²/2, где δ = dist(x₀, сетка). Худшее выравнивание (δ = h/2) даёт ровно κh²/8; среднее по выравниваниям — ровно κh²/24 (E[δ²] = h²/12). Обе константы проверены кампанией C6 с машинной точностью (худший случай 2,0e-9 относительных — флосковый пол представления малого дефицита; проверка ломаной ниже замыкается на 1,9e-16).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Лемма B (натяжение: растяжение и сжатие). Секущая параболы на одной ячейке равна её производной в середине ячейки, поэтому ломаная по узлам — это в точности сумма прямоугольников среднего варианта для интегранда дуги f(x) = √(1 + κ²x²). Поскольку f строго выпукла, ломаная строго короче непрерывной дуги с дефицитом ≤ w·h²·f''_max/24: при фиксированном натяжении дискретизованная структура СЖАТА, а сгущение сетки снова её растягивает. Это и есть механизм, вынесенный в название выпуска: параболические структуры растягиваются и сжимаются под действием кривизны своего натяжения при перемасштабировании — потому одна и та же формула на разных масштабах не может возвращать одно число.</w:t>
      </w:r>
    </w:p>
    <w:p>
      <w:pPr>
        <w:pStyle w:val="Heading2"/>
        <w:spacing w:after="120" w:before="280" w:line="360" w:lineRule="atLeast"/>
      </w:pPr>
      <w:bookmarkStart w:name="_Toc35" w:id="35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12.2. Сдвиг порога и его измерение</w:t>
      </w:r>
      <w:bookmarkEnd w:id="35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Применение теоремы о неявной функции к условию уровня F(A, q_pk − δ(h)) = q_crit с чувствительностью s = dq_pk/dA &gt; 0 даёт закон дрейфа из формулировки: ведущий точный канал имеет порядок O(h²) и положителен. Кампания C6 измеряет оба коэффициента исключительно на зафиксированных артефактах: натяжение κ* = 2728,60 — локальной квадратичной регрессией по зафиксированному сверхкритическому профилю компактности при v = 0,5853; чувствительность s = 413,8 — по двум самым глубоким строкам ε зафиксированной докритической развёртки C2. Измеренная лестница монотонно убывает (1,69e-2 за удвоение при N = 200 до 9,23e-4 при N = 3200) с локальными эффективными порядками p_eff = 1,140 / 1,459 / 1,596 — строго возрастающими, быстрее 1/N, к второму порядку схемы RK2-Хойн.</w:t>
      </w:r>
    </w:p>
    <w:p>
      <w:pPr>
        <w:spacing w:after="40" w:before="160"/>
        <w:jc w:val="center"/>
      </w:pPr>
      <w:r>
        <w:drawing>
          <wp:inline distT="0" distB="0" distL="0" distR="0">
            <wp:extent cx="5143500" cy="32289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05050"/>
          <w:sz w:val="20"/>
          <w:szCs w:val="20"/>
        </w:rPr>
        <w:t xml:space="preserve">Рис. 12.1. Наблюдаемый дрейф порога за удвоение против точного канала T10 и отвергнутой двухчленной аппроксимации (отчётная фигура кампании C6).</w:t>
      </w:r>
    </w:p>
    <w:p>
      <w:pPr>
        <w:pStyle w:val="Heading2"/>
        <w:spacing w:after="120" w:before="280" w:line="360" w:lineRule="atLeast"/>
      </w:pPr>
      <w:bookmarkStart w:name="_Toc36" w:id="36"/>
      <w:r>
        <w:rPr>
          <w:rFonts w:ascii="Times New Roman" w:cs="Times New Roman" w:eastAsia="Times New Roman" w:hAnsi="Times New Roman"/>
          <w:b/>
          <w:bCs/>
          <w:color w:val="1A1A1A"/>
          <w:sz w:val="28"/>
          <w:szCs w:val="28"/>
        </w:rPr>
        <w:t xml:space="preserve">12.3. Статус и честные негативы</w:t>
      </w:r>
      <w:bookmarkEnd w:id="36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Статус: выведено аналитически (обе леммы точны и проверены машинно) с коэффициентами, измеренными на зафиксированных артефактах; вердикт — c6_drift_verdict.json, закреплён тремя тестами. С теоремой идут два честных негатива. Первый: континуальный порог A*_конт по этой лестнице НЕ утверждается — двухчленная экстраполяция A*_N = A_∞ + a/N + b/N² описывает пять точек с R² = 0,999 и тем не менее ОТВЕРГНУТА собственной траекторией p_eff (у фитующей кривой p_eff убывает с N, у измеренной — растёт). Второй: точный канал субдоминантен — на него приходится от 2,6e-3 до 9,1e-3 наблюдаемого дрейфа; доминирующий монотонный канал атрибутирован (гипотеза с явной пометкой) накоплению ошибки марша при околокритическом задерживании — пороговому двойнику закона пола (T5) и явной цели AMR-модернизации движка.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7" w:id="37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13. Матрица верификации</w:t>
      </w:r>
      <w:bookmarkEnd w:id="37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Сводная матрица ниже связывает каждую теорему с её источником, инструментами проверки и артефактами. Обозначения инструментов: «pytest» — pin-тесты test_*.py (63 теста), «mpmath» — высокоточная проверка python3 -m chbridge.validate (7/7, dps=50), «campaign» — вердикт campaigns/reference/*.json, «multilang» — тройня близнецов JS/C++/C (7,1e-13), «fig» — регенерируемая фигура каталога.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Таблица 13.1. Матрица верификации теорем</w:t>
      </w:r>
    </w:p>
    <w:tbl>
      <w:tblPr>
        <w:tblW w:type="pct" w:w="5000"/>
        <w:tblBorders>
          <w:top w:val="single" w:color="C9A84C" w:sz="6"/>
          <w:left w:val="none" w:color="FFFFFF" w:sz="0"/>
          <w:bottom w:val="single" w:color="C9A84C" w:sz="6"/>
          <w:right w:val="none" w:color="FFFFFF" w:sz="0"/>
          <w:insideH w:val="single" w:color="DDD5C0" w:sz="2"/>
          <w:insideV w:val="none" w:color="FFFFFF" w:sz="0"/>
        </w:tblBorders>
      </w:tblPr>
      <w:tblGrid>
        <w:gridCol w:w="703"/>
        <w:gridCol w:w="2636"/>
        <w:gridCol w:w="1758"/>
        <w:gridCol w:w="1758"/>
        <w:gridCol w:w="1933"/>
      </w:tblGrid>
      <w:tr>
        <w:trPr>
          <w:cantSplit/>
          <w:tblHeader/>
        </w:trPr>
        <w:tc>
          <w:tcPr>
            <w:tcW w:type="pct" w:w="4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№</w:t>
            </w:r>
          </w:p>
        </w:tc>
        <w:tc>
          <w:tcPr>
            <w:tcW w:type="pct" w:w="15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Теорема</w:t>
            </w:r>
          </w:p>
        </w:tc>
        <w:tc>
          <w:tcPr>
            <w:tcW w:type="pct" w:w="1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Статус</w:t>
            </w:r>
          </w:p>
        </w:tc>
        <w:tc>
          <w:tcPr>
            <w:tcW w:type="pct" w:w="10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Инструменты</w:t>
            </w:r>
          </w:p>
        </w:tc>
        <w:tc>
          <w:tcPr>
            <w:tcW w:type="pct" w:w="1100"/>
            <w:shd w:fill="C9A84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18"/>
                <w:szCs w:val="18"/>
              </w:rPr>
              <w:t xml:space="preserve">Артефакты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Доля времени Пейджа 1 − 2^(−3/2)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mpmath; pytest; multilang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hawking.py; fig_page; hq_16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T2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Единственность контакта с CMB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(идеализация)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mpmath; pytest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hawking.py; bridge_master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T3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Септинная константа 2sin²(π/7)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точно; сравнение 0,67 %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mpmath; pytest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constants.py; hq_05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T4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Порядок сходимости 2,03/2,09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campaign; pytest; fig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c1_verdict; fig_validation; hq_17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T5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Закон пола (13 ± 1)/N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campaign; pytest; fig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c3b_verdict; hq_13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T6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Δ·γ = 1,28656 (цель 1,27±0,05)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сравнение; движок — негатив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campaign; pytest; fig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c3_verdict; hq_12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T7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Монотонность q_max; замедление b&lt;0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campaign; pytest; fig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c2_verdict; hq_06; hq_07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T8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Эхо 0,1909 &lt; 0,2907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установлено численно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campaign; pytest; fig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c2_verdict; hq_08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T9</w:t>
            </w:r>
          </w:p>
        </w:tc>
        <w:tc>
          <w:tcPr>
            <w:tcW w:type="pct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S_rad(τ*)/S0 = 1/2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точно (следствие T1)</w:t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mpmath; multilang</w:t>
            </w:r>
          </w:p>
        </w:tc>
        <w:tc>
          <w:tcPr>
            <w:tcW w:type="pct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page_curve_grid; hq_16</w:t>
            </w:r>
          </w:p>
        </w:tc>
      </w:tr>
      <w:tr>
        <w:trPr>
          <w:cantSplit/>
        </w:trPr>
        <w:tc>
          <w:tcPr>
            <w:tcW w:type="pct" w:w="4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T10</w:t>
            </w:r>
          </w:p>
        </w:tc>
        <w:tc>
          <w:tcPr>
            <w:tcW w:type="pct" w:w="15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дрейф порога: A*_N − A*_конт = κ*h²/(8s) &gt; 0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выведено аналитически; измерено</w:t>
            </w:r>
          </w:p>
        </w:tc>
        <w:tc>
          <w:tcPr>
            <w:tcW w:type="pct" w:w="10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campaign C6; pytest</w:t>
            </w:r>
          </w:p>
        </w:tc>
        <w:tc>
          <w:tcPr>
            <w:tcW w:type="pct" w:w="1100"/>
            <w:shd w:fill="F5F2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c6_drift_verdict; отчёт C6</w:t>
            </w:r>
          </w:p>
        </w:tc>
      </w:tr>
    </w:tbl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Матрица полна: каждая строка пакета RESULTS.md либо покрывается одной из теорем T1–T10, либо относится к протокольным примечаниям (квантование 40 снимков, статус мусорных строк, идеализация фотонного испарения), которые вынесены в регистр честности следующего раздела.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8" w:id="38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14. Регистр честности и границы применимости</w:t>
      </w:r>
      <w:bookmarkEnd w:id="38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Регистр честности — обязательный раздел каждого итогового документа пакета. Он перечисляет ограничения, без которых прочтение теорем было бы вводящим в заблуждение, и закреплён в results/RESULTS.md с точностью до формулировок.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Мусорные строки сохранены: прогоны с переполнением массы (3 строки бифуркации C2, примеры в C1) присутствуют в вердиктах с флагом sane = False и никогда не отбрасываются молча.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Пол массы — результат первого класса: floor_M не дефект, а измеренный закон (T5, предмножитель (13 ± 1)/N на исправленных значениях по сеткам), определяющий достижимость остальных величин.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γ и Δ на движковом уровне — честные негативы: с порогами по каждой сетке (F-2) глубокие фиты определяются полом (γ_eff = 0,041/0,060, r² = 0,33/0,41), якорь 0,374 недостижим; Δ не разрешается (менее 3 пиков) до N = 3200 включительно. Значение γ_eff около 0,12 из v2.0.0 было артефактом смещения оси ε и отозвано.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Континуальный порог не утверждается: дрейф лестницы A* — теорема (T10), двухчленная экстраполяция отвергнута собственной траекторией p_eff, и никакое A*_∞ в пакете не заявляется.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Доминирующий канал дрейфа — гипотеза с явной пометкой: накопление ошибки марша при околокритическом задерживании; точный параболический канал измерен и субдоминантен (доля 2,6e-3..9,1e-3).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Септинные совпадения — сравнения: ноль претензий на вывод констант γ или Δ из геометрии π/7.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Фотонное испарение — идеализация: модель luminosity учитывает только фотоны; поправки на другие степени свободы не включены и задокументированы.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Квантование v_qmax: 40 снимков на прогон — свойство прибора, видимая ступенчатость данных объясняется им полностью.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Эти восемь пунктов не «мелкий шрифт», а часть результатов: четыре из них (пол, негативы γ/Δ, отказ от A*_∞, квантование) — измеренные утверждения с тестовыми pin-значениями, и именно они формируют дорожную карту (C4, C5, движковая модернизация). Читатель настоящего тома должен читать теоремы вместе с этим регистром: например, T6 без пункта о движковом негативе создавала бы ложное впечатление закрытого вопроса, а T10 без пометки о субдоминантности преувеличивал бы объяснительную силу параболического канала.</w:t>
      </w:r>
    </w:p>
    <w:p>
      <w:pPr>
        <w:pStyle w:val="Heading1"/>
        <w:pBdr>
          <w:bottom w:val="single" w:color="C9A84C" w:sz="4" w:space="6"/>
        </w:pBdr>
        <w:spacing w:after="180" w:before="400" w:line="400" w:lineRule="atLeast"/>
      </w:pPr>
      <w:bookmarkStart w:name="_Toc39" w:id="39"/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15. Литература и источники пакета</w:t>
      </w:r>
      <w:bookmarkEnd w:id="39"/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Численные источники настоящего тома — внутренние артефакты пакета; каждый указан в матрице верификации. Внешние якоря, использованные как сравнительные константы: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Choptuik (1993) — критичность типа II, показатель массового скейлинга семейства γ ≈ 0,37 (якорь γ_Ch = 0,374).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Gundlach, Hodgson — период эхо-осцилляций Δ = 3,44 ± 0,02 (якорь периода).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Page (1993), Sen (1996) — точная формула усреднённой энтропии разбиения и её хаар-аудит (max-отклонение 0,0042 бита в пакете).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Roberts, Oshiyo — точное решение, использованное для валидации порядка схемы (T4).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CODATA 2018 — все физические константы Part A; Planck 2018 — космологический базовый набор; COBE/FIRAS — T_CMB = 2,72548 К.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Независимый протокол верификации IVP-15 (в составе пакета, independent_verification/): слепый аудит выпуска 2.0.0 — находки F-1/F-2/F-3 — и выпускной шлюз, который закрывает настоящее издание v2.1.0; зафиксированный аудит-след — в independent_verification/results/.</w:t>
      </w:r>
    </w:p>
    <w:p>
      <w:pPr>
        <w:spacing w:after="120" w:line="312"/>
        <w:ind w:firstLine="0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Внутренние источники: chbridge/constants.py (единый источник констант), campaigns/reference/*.json (вердикты C1, C2, C3, C3b и дрейфовый вердикт C6), campaigns/reference/a_star_ladder.{json,csv} (ремедиационная лестница F-1), data/bridge/*.csv (13 производных таблиц), results/scaling_drift/ (отчёт и фигуры C6), results/RESULTS.md (живой реестр), docs/scaling_law.md (вывод T10), docs/theory.md и docs/methods.md (теория и протоколы). Все они входят в поставляемый ZIP и воспроизводятся командами Makefile; полная инструкция — в энциклопедическом приложении, часть X.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0505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Теоремы моста «Коллапс–Хокинг» · v2.1.0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5C0" w:sz="2" w:space="4"/>
      </w:pBdr>
      <w:jc w:val="center"/>
    </w:pPr>
    <w:r>
      <w:rPr>
        <w:rFonts w:ascii="Times New Roman" w:cs="Times New Roman" w:eastAsia="Times New Roman" w:hAnsi="Times New Roman"/>
        <w:i/>
        <w:iCs/>
        <w:color w:val="505050"/>
        <w:sz w:val="18"/>
        <w:szCs w:val="18"/>
      </w:rPr>
      <w:t xml:space="preserve">Теоремы моста «Коллапс–Хокинг» ·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Times New Roman" w:hAnsi="Times New Roman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hAnsi="Times New Roman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Times New Roman" w:hAnsi="Times New Roman"/>
      <w:b/>
      <w:bCs/>
      <w:color w:val="1A1A1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ad862ce1299eaafcbc1fe0eec00d5c54b7b79974.png"/><Relationship Id="rId12" Type="http://schemas.openxmlformats.org/officeDocument/2006/relationships/image" Target="media/dcdb82f9749e030c97d7ded6e2fb7d61276be73e.png"/><Relationship Id="rId13" Type="http://schemas.openxmlformats.org/officeDocument/2006/relationships/image" Target="media/0c3754c7d329aad2421162c765d675d1973c7993.png"/><Relationship Id="rId14" Type="http://schemas.openxmlformats.org/officeDocument/2006/relationships/image" Target="media/45839d9745cad3498c57ff0ecc1d306287960dce.png"/><Relationship Id="rId15" Type="http://schemas.openxmlformats.org/officeDocument/2006/relationships/image" Target="media/55735343a4915e856077cca00abd985a8a695d22.png"/><Relationship Id="rId16" Type="http://schemas.openxmlformats.org/officeDocument/2006/relationships/image" Target="media/cc2c6694d975d6731e5ad51bb65a9fb4ded9e8b4.png"/><Relationship Id="rId17" Type="http://schemas.openxmlformats.org/officeDocument/2006/relationships/image" Target="media/ed246dc72abde5cd45455f77a5c0e735335c33dc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Теоремы моста «Коллапс–Хокинг»</dc:title>
  <dc:creator>Z.ai</dc:creator>
  <dc:description>Формулировки, доказательства и зафиксированная верификация десяти количественных утверждений</dc:description>
  <cp:lastModifiedBy>Un-named</cp:lastModifiedBy>
  <cp:revision>1</cp:revision>
  <dcterms:created xsi:type="dcterms:W3CDTF">2026-10-10T21:58:54.042Z</dcterms:created>
  <dcterms:modified xsi:type="dcterms:W3CDTF">2026-10-10T21:58:54.042Z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