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The Genus of the Fermat Curve</w:t>
      </w:r>
    </w:p>
    <w:p>
      <w:pPr>
        <w:jc w:val="center"/>
      </w:pPr>
      <w:r>
        <w:rPr>
          <w:b w:val="0"/>
          <w:i w:val="0"/>
          <w:color w:val="404040"/>
          <w:sz w:val="26"/>
        </w:rPr>
        <w:t>the topological foundation of the cyclotomic stands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«Dynamic Principle» Program — the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Монография 1/16</w:t>
      </w:r>
    </w:p>
    <w:bookmarkStart w:id="21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The Fermat curve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N</m:t>
            </m:r>
          </m:sup>
        </m:sSup>
        <m:r>
          <m:rPr>
            <m:sty m:val="p"/>
          </m:rPr>
          <m:t>}</m:t>
        </m:r>
        <m:r>
          <m:rPr>
            <m:sty m:val="p"/>
          </m:rPr>
          <m:t>⊂</m:t>
        </m:r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t xml:space="preserve">basic object of the cyclotomic stands. Its topology is determined by</w:t>
      </w:r>
      <w:r>
        <w:t xml:space="preserve"> </w:t>
      </w:r>
      <w:r>
        <w:t xml:space="preserve">a single integer</w:t>
      </w:r>
      <w:r>
        <w:t xml:space="preserve"> </w:t>
      </w:r>
      <m:oMath>
        <m:r>
          <m:t>N</m:t>
        </m:r>
      </m:oMath>
      <w:r>
        <w:t xml:space="preserve">, and the first pipeline step — the genus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— is purely topological: no analysis, no spectral theory. The</w:t>
      </w:r>
      <w:r>
        <w:t xml:space="preserve"> </w:t>
      </w:r>
      <w:r>
        <w:t xml:space="preserve">genus determines the dimension of the space of holomorphic forms,</w:t>
      </w:r>
      <w:r>
        <w:t xml:space="preserve"> </w:t>
      </w:r>
      <w:r>
        <w:t xml:space="preserve">the size of the period matrix, and ultimately the scale of the whole</w:t>
      </w:r>
      <w:r>
        <w:t xml:space="preserve"> </w:t>
      </w:r>
      <w:r>
        <w:t xml:space="preserve">construction.</w:t>
      </w:r>
    </w:p>
    <w:bookmarkStart w:id="20" w:name="lem:genus"/>
    <w:p>
      <w:pPr>
        <w:pStyle w:val="BodyText"/>
      </w:pPr>
      <w:r>
        <w:rPr>
          <w:b/>
          <w:bCs/>
        </w:rPr>
        <w:t xml:space="preserve">Lemma 1</w:t>
      </w:r>
      <w:r>
        <w:t xml:space="preserve"> </w:t>
      </w:r>
      <w:r>
        <w:t xml:space="preserve">(genus of the Fermat curve).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rPr>
          <w:i/>
          <w:iCs/>
        </w:rPr>
        <w:t xml:space="preserve">. The projection</w:t>
      </w:r>
      <w:r>
        <w:rPr>
          <w:i/>
          <w:iCs/>
        </w:rPr>
        <w:t xml:space="preserve"> </w:t>
      </w:r>
      <m:oMath>
        <m:sSub>
          <m:e>
            <m:r>
              <m:t>π</m:t>
            </m:r>
          </m:e>
          <m:sub>
            <m:r>
              <m:t>x</m:t>
            </m:r>
          </m:sub>
        </m:sSub>
        <m:r>
          <m:rPr>
            <m:sty m:val="p"/>
          </m:rPr>
          <m:t>: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is a</w:t>
      </w:r>
      <w:r>
        <w:rPr>
          <w:i/>
          <w:iCs/>
        </w:rPr>
        <w:t xml:space="preserve"> </w:t>
      </w:r>
      <w:r>
        <w:rPr>
          <w:i/>
          <w:iCs/>
        </w:rPr>
        <w:t xml:space="preserve">morphism of degree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, unramified over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ramified</w:t>
      </w:r>
      <w:r>
        <w:rPr>
          <w:i/>
          <w:iCs/>
        </w:rPr>
        <w:t xml:space="preserve"> </w:t>
      </w:r>
      <w:r>
        <w:rPr>
          <w:i/>
          <w:iCs/>
        </w:rPr>
        <w:t xml:space="preserve">exactly over the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points</w:t>
      </w:r>
      <w:r>
        <w:rPr>
          <w:i/>
          <w:iCs/>
        </w:rP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k</m:t>
            </m:r>
          </m:sup>
        </m:sSubSup>
      </m:oMath>
      <w:r>
        <w:rPr>
          <w:i/>
          <w:iCs/>
        </w:rPr>
        <w:t xml:space="preserve">, with ramification index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at each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ζ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i/>
          <w:iCs/>
        </w:rPr>
        <w:t xml:space="preserve">. The genus equals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</m:oMath>
      <w:r>
        <w:rPr>
          <w:i/>
          <w:iCs/>
        </w:rPr>
        <w:t xml:space="preserve">; in particular</w:t>
      </w:r>
      <w:r>
        <w:rPr>
          <w:i/>
          <w:iCs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r>
          <m:t>91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r>
          <m:t>406</m:t>
        </m:r>
      </m:oMath>
      <w:r>
        <w:rPr>
          <w:i/>
          <w:iCs/>
        </w:rP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Over any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the equation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has exactly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solutions with multiplicity, hence</w:t>
      </w:r>
      <w:r>
        <w:t xml:space="preserve"> </w:t>
      </w:r>
      <m:oMath>
        <m:r>
          <m:rPr>
            <m:sty m:val="p"/>
          </m:rPr>
          <m:t>deg</m:t>
        </m:r>
        <m:sSub>
          <m:e>
            <m:r>
              <m:t>π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. At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local expansion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sSubSup>
          <m:e>
            <m:r>
              <m:t>ζ</m:t>
            </m:r>
          </m:e>
          <m:sub>
            <m:r>
              <m:t>N</m:t>
            </m:r>
          </m:sub>
          <m:sup>
            <m:r>
              <m:t>k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b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Sup>
              <m:e>
                <m:r>
                  <m:t>ζ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Sup>
              <m:e>
                <m:r>
                  <m:t>ζ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: the parameter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sSubSup>
          <m:e>
            <m:r>
              <m:t>ζ</m:t>
            </m:r>
          </m:e>
          <m:sub>
            <m:r>
              <m:t>N</m:t>
            </m:r>
          </m:sub>
          <m:sup>
            <m:r>
              <m:t>k</m:t>
            </m:r>
          </m:sup>
        </m:sSubSup>
        <m:r>
          <m:rPr>
            <m:sty m:val="p"/>
          </m:rPr>
          <m:t>∼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so the ramification index is</w:t>
      </w:r>
      <w:r>
        <w:t xml:space="preserve"> </w:t>
      </w:r>
      <m:oMath>
        <m:r>
          <m:t>N</m:t>
        </m:r>
      </m:oMath>
      <w:r>
        <w:t xml:space="preserve">. Over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there is no ramification: 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solutions with unramified projection.</w:t>
      </w:r>
      <w:r>
        <w:t xml:space="preserve"> </w:t>
      </w:r>
      <w:r>
        <w:t xml:space="preserve">The Riemann–Hurwitz formula gives</w:t>
      </w:r>
      <w:r>
        <w:t xml:space="preserve"> </w:t>
      </w:r>
      <m:oMath>
        <m:r>
          <m:t>2</m:t>
        </m:r>
        <m:r>
          <m:t>g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N</m:t>
        </m:r>
        <m:r>
          <m:rPr>
            <m:sty m:val="p"/>
          </m:rPr>
          <m:t>+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N</m:t>
        </m:r>
      </m:oMath>
      <w:r>
        <w:t xml:space="preserve">, hence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406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30</m:t>
        </m:r>
      </m:oMath>
      <w:r>
        <w:t xml:space="preserve">. ◻</w:t>
      </w:r>
    </w:p>
    <w:p>
      <w:pPr>
        <w:pStyle w:val="BodyText"/>
      </w:pPr>
      <w:r>
        <w:rPr>
          <w:i/>
          <w:iCs/>
        </w:rPr>
        <w:t xml:space="preserve">Remark 2</w:t>
      </w:r>
      <w:r>
        <w:t xml:space="preserve">.</w:t>
      </w:r>
      <w:r>
        <w:t xml:space="preserve"> </w:t>
      </w:r>
      <w:r>
        <w:t xml:space="preserve"> </w:t>
      </w:r>
      <w:r>
        <w:t xml:space="preserve">The same Plücker formula for a smooth plane curve of degree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— the agreement of the two readings</w:t>
      </w:r>
      <w:r>
        <w:t xml:space="preserve"> </w:t>
      </w:r>
      <w:r>
        <w:t xml:space="preserve">serves as a built-in control: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both give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(the Klein</w:t>
      </w:r>
      <w:r>
        <w:t xml:space="preserve"> </w:t>
      </w:r>
      <w:r>
        <w:t xml:space="preserve">quartic is also a genus-3 curve, but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curve).</w:t>
      </w:r>
    </w:p>
    <w:p>
      <w:pPr>
        <w:pStyle w:val="BlockText"/>
      </w:pPr>
      <w:r>
        <w:rPr>
          <w:b/>
          <w:bCs/>
        </w:rPr>
        <w:t xml:space="preserve">Protocol data (numbers).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r>
          <m:t>91</m:t>
        </m:r>
      </m:oMath>
      <w:r>
        <w:t xml:space="preserve">; period matrix</w:t>
      </w:r>
      <w:r>
        <w:t xml:space="preserve"> </w:t>
      </w:r>
      <m:oMath>
        <m:r>
          <m:t>91</m:t>
        </m:r>
        <m:r>
          <m:rPr>
            <m:sty m:val="p"/>
          </m:rPr>
          <m:t>×</m:t>
        </m:r>
        <m:r>
          <m:t>182</m:t>
        </m:r>
      </m:oMath>
      <w:r>
        <w:t xml:space="preserve">;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r>
          <m:t>406</m:t>
        </m:r>
      </m:oMath>
      <w:r>
        <w:t xml:space="preserve">; period matrix</w:t>
      </w:r>
      <w:r>
        <w:t xml:space="preserve"> </w:t>
      </w:r>
      <m:oMath>
        <m:r>
          <m:t>406</m:t>
        </m:r>
        <m:r>
          <m:rPr>
            <m:sty m:val="p"/>
          </m:rPr>
          <m:t>×</m:t>
        </m:r>
        <m:r>
          <m:t>812</m:t>
        </m:r>
      </m:oMath>
      <w:r>
        <w:t xml:space="preserve">; for comparison: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22</m:t>
            </m:r>
          </m:e>
        </m:d>
        <m:r>
          <m:rPr>
            <m:sty m:val="p"/>
          </m:rPr>
          <m:t>=</m:t>
        </m:r>
        <m:r>
          <m:t>231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The genus is proved from Riemann–Hurwitz with all components</w:t>
      </w:r>
      <w:r>
        <w:t xml:space="preserve"> </w:t>
      </w:r>
      <w:r>
        <w:t xml:space="preserve">explicit. Consequences: the character censuses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406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+</m:t>
        </m:r>
        <m:r>
          <m:t>276</m:t>
        </m:r>
      </m:oMath>
      <w:r>
        <w:t xml:space="preserve"> </w:t>
      </w:r>
      <w:r>
        <w:t xml:space="preserve">agree with the genera (check V1, exact</w:t>
      </w:r>
      <w:r>
        <w:t xml:space="preserve"> </w:t>
      </w:r>
      <w:r>
        <w:t xml:space="preserve">integer arithmetic).</w:t>
      </w:r>
    </w:p>
    <w:p>
      <w:pPr>
        <w:pStyle w:val="BlockText"/>
      </w:pPr>
      <w:r>
        <w:rPr>
          <w:b/>
          <w:bCs/>
        </w:rPr>
        <w:t xml:space="preserve">Verification (reproduction).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Stand N=15/30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V1</w:t>
      </w:r>
      <w:r>
        <w:t xml:space="preserve"> </w:t>
      </w:r>
      <w:r>
        <w:t xml:space="preserve">census</w:t>
      </w:r>
      <w:r>
        <w:t xml:space="preserve">”</w:t>
      </w:r>
      <w:r>
        <w:t xml:space="preserve">; Lean:</w:t>
      </w:r>
      <w:r>
        <w:t xml:space="preserve"> </w:t>
      </w:r>
      <w:r>
        <w:rPr>
          <w:rStyle w:val="VerbatimChar"/>
        </w:rPr>
        <w:t xml:space="preserve">genus_fermat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HodgeLaboratory.lean</w:t>
      </w:r>
      <w:r>
        <w:t xml:space="preserve"> </w:t>
      </w:r>
      <w:r>
        <w:t xml:space="preserve">— machine proofs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15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406</m:t>
        </m:r>
      </m:oMath>
      <w:r>
        <w:t xml:space="preserve">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formulas,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Stands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/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Certificates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Genus of the Fermat Curve</dc:title>
  <dc:creator>Isaev Iskhak Khamzatovich</dc:creator>
  <dc:language>en-US</dc:language>
  <cp:keywords>hodge-laboratory, theorem monograph, EN</cp:keywords>
  <dcterms:created xsi:type="dcterms:W3CDTF">2026-09-23T16:56:50Z</dcterms:created>
  <dcterms:modified xsi:type="dcterms:W3CDTF">2026-09-23T16:56:50Z</dcterms:modified>
  <dc:subject>Standalone theorem monograph 1/16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