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The Closed Form of the Period</w:t>
      </w:r>
    </w:p>
    <w:p>
      <w:pPr>
        <w:jc w:val="center"/>
      </w:pPr>
      <w:r>
        <w:rPr>
          <w:b w:val="0"/>
          <w:i w:val="0"/>
          <w:color w:val="404040"/>
          <w:sz w:val="26"/>
        </w:rPr>
        <w:t>the beta integral, the phase lattice, and equivariance</w:t>
      </w:r>
    </w:p>
    <w:p>
      <w:pPr>
        <w:jc w:val="center"/>
      </w:pPr>
      <w:r>
        <w:rPr>
          <w:b/>
          <w:i w:val="0"/>
          <w:color w:val="202020"/>
          <w:sz w:val="23"/>
        </w:rPr>
        <w:t>Isaev Iskhak Khamzatovich</w:t>
      </w:r>
    </w:p>
    <w:p>
      <w:pPr>
        <w:jc w:val="center"/>
      </w:pPr>
      <w:r>
        <w:rPr>
          <w:b w:val="0"/>
          <w:i w:val="0"/>
          <w:color w:val="666666"/>
          <w:sz w:val="19"/>
        </w:rPr>
        <w:t>The «Dynamic Principle» Program — the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Standalone theorem monograph · Монография 2/16</w:t>
      </w:r>
    </w:p>
    <w:bookmarkStart w:id="22" w:name="setting"/>
    <w:p>
      <w:pPr>
        <w:pStyle w:val="Heading1"/>
      </w:pPr>
      <w:r>
        <w:t xml:space="preserve">Setting</w:t>
      </w:r>
    </w:p>
    <w:p>
      <w:pPr>
        <w:pStyle w:val="FirstParagraph"/>
      </w:pPr>
      <w:r>
        <w:t xml:space="preserve">The periods of the Fermat curve — integrals of holomorphic forms</w:t>
      </w:r>
      <w:r>
        <w:t xml:space="preserve"> </w:t>
      </w:r>
      <w:r>
        <w:t xml:space="preserve">over cycles — admit a closed form: the transcendental part (a beta</w:t>
      </w:r>
      <w:r>
        <w:t xml:space="preserve"> </w:t>
      </w:r>
      <w:r>
        <w:t xml:space="preserve">integral) and the algebraic part (a root of unity) separate</w:t>
      </w:r>
      <w:r>
        <w:t xml:space="preserve"> </w:t>
      </w:r>
      <w:r>
        <w:t xml:space="preserve">explicitly. This separation is the technical foundation of the</w:t>
      </w:r>
      <w:r>
        <w:t xml:space="preserve"> </w:t>
      </w:r>
      <w:r>
        <w:t xml:space="preserve">whole</w:t>
      </w:r>
      <w:r>
        <w:t xml:space="preserve"> </w:t>
      </w:r>
      <m:oMath>
        <m:r>
          <m:t>Γ</m:t>
        </m:r>
      </m:oMath>
      <w:r>
        <w:t xml:space="preserve">-normalization.</w:t>
      </w:r>
    </w:p>
    <w:bookmarkStart w:id="20" w:name="lem:forms"/>
    <w:p>
      <w:pPr>
        <w:pStyle w:val="BodyText"/>
      </w:pPr>
      <w:r>
        <w:rPr>
          <w:b/>
          <w:bCs/>
        </w:rPr>
        <w:t xml:space="preserve">Lemma 1</w:t>
      </w:r>
      <w:r>
        <w:t xml:space="preserve"> </w:t>
      </w:r>
      <w:r>
        <w:t xml:space="preserve">(basis of holomorphic forms).</w:t>
      </w:r>
      <w:r>
        <w:t xml:space="preserve"> </w:t>
      </w:r>
      <w:r>
        <w:t xml:space="preserve"> </w:t>
      </w:r>
      <w:r>
        <w:rPr>
          <w:i/>
          <w:iCs/>
        </w:rPr>
        <w:t xml:space="preserve">The forms</w:t>
      </w:r>
      <w:r>
        <w:rPr>
          <w:i/>
          <w:iCs/>
        </w:rP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i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j</m:t>
                </m:r>
              </m:sup>
            </m:sSup>
            <m:r>
              <m:t>d</m:t>
            </m:r>
            <m:r>
              <m:t>x</m:t>
            </m:r>
          </m:num>
          <m:den>
            <m:sSup>
              <m:e>
                <m:r>
                  <m:t>y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3</m:t>
        </m:r>
      </m:oMath>
      <w:r>
        <w:rPr>
          <w:i/>
          <w:iCs/>
        </w:rPr>
        <w:t xml:space="preserve">, are holomorphic on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; their number is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, and they form a basis of</w:t>
      </w:r>
      <w:r>
        <w:rPr>
          <w:i/>
          <w:iCs/>
        </w:rPr>
        <w:t xml:space="preserve"> </w:t>
      </w:r>
      <m:oMath>
        <m:sSup>
          <m:e>
            <m:r>
              <m:t>H</m:t>
            </m:r>
          </m:e>
          <m:sup>
            <m:r>
              <m:t>0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Ω</m:t>
                </m:r>
              </m:e>
              <m:sup>
                <m:r>
                  <m:t>1</m:t>
                </m:r>
              </m:sup>
            </m:sSup>
          </m:e>
        </m:d>
      </m:oMath>
      <w:r>
        <w:rPr>
          <w:i/>
          <w:iCs/>
        </w:rPr>
        <w:t xml:space="preserve">. Each</w:t>
      </w:r>
      <w:r>
        <w:rPr>
          <w:i/>
          <w:iCs/>
        </w:rP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an eigenform of the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  <m:r>
          <m:rPr>
            <m:sty m:val="p"/>
          </m:rPr>
          <m:t>×</m:t>
        </m:r>
        <m:sSub>
          <m:e>
            <m:r>
              <m:t>μ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-action with</w:t>
      </w:r>
      <w:r>
        <w:rPr>
          <w:i/>
          <w:iCs/>
        </w:rPr>
        <w:t xml:space="preserve"> </w:t>
      </w:r>
      <w:r>
        <w:rPr>
          <w:i/>
          <w:iCs/>
        </w:rPr>
        <w:t xml:space="preserve">character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>
          <w:i/>
          <w:iCs/>
        </w:rPr>
        <w:t xml:space="preserve">.</w:t>
      </w:r>
    </w:p>
    <w:bookmarkEnd w:id="20"/>
    <w:bookmarkStart w:id="21" w:name="lem:closedform"/>
    <w:p>
      <w:pPr>
        <w:pStyle w:val="BodyText"/>
      </w:pPr>
      <w:r>
        <w:rPr>
          <w:b/>
          <w:bCs/>
        </w:rPr>
        <w:t xml:space="preserve">Lemma 2</w:t>
      </w:r>
      <w:r>
        <w:t xml:space="preserve"> </w:t>
      </w:r>
      <w:r>
        <w:t xml:space="preserve">(closed form of the period).</w:t>
      </w:r>
      <w:r>
        <w:t xml:space="preserve"> </w:t>
      </w:r>
      <w:r>
        <w:t xml:space="preserve"> </w:t>
      </w:r>
      <w:r>
        <w:rPr>
          <w:i/>
          <w:iCs/>
        </w:rPr>
        <w:t xml:space="preserve">In the coordinate</w:t>
      </w:r>
      <w:r>
        <w:rPr>
          <w:i/>
          <w:iCs/>
        </w:rP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p>
          <m:e>
            <m:r>
              <m:t>t</m:t>
            </m:r>
          </m:e>
          <m:sup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</m:e>
          <m:sup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t</m:t>
        </m:r>
      </m:oMath>
      <w:r>
        <w:rPr>
          <w:i/>
          <w:iCs/>
        </w:rPr>
        <w:t xml:space="preserve">. For a lift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 winding data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  <m:r>
          <m:rPr>
            <m:sty m:val="p"/>
          </m:rPr>
          <m:t>∈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e>
            </m:d>
          </m:e>
          <m:sup>
            <m:r>
              <m:t>2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the period is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bSup>
            <m:e>
              <m:r>
                <m:t>ζ</m:t>
              </m:r>
            </m:e>
            <m:sub>
              <m:r>
                <m:t>N</m:t>
              </m:r>
            </m:sub>
            <m:sup>
              <m:r>
                <m:t>r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b</m:t>
              </m:r>
            </m:sup>
          </m:sSubSup>
          <m:sSub>
            <m:e>
              <m:r>
                <m:t>Ω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Ω</m:t>
              </m:r>
            </m:e>
            <m:sub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</m:num>
            <m:den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</m:den>
          </m:f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and the image of the period functional lies in</w:t>
      </w:r>
      <w:r>
        <w:rPr>
          <w:i/>
          <w:iCs/>
        </w:rPr>
        <w:t xml:space="preserve"> </w:t>
      </w:r>
      <m:oMath>
        <m:f>
          <m:fPr>
            <m:type m:val="bar"/>
          </m:fPr>
          <m:num>
            <m:sSub>
              <m:e>
                <m:r>
                  <m:t>Ω</m:t>
                </m:r>
              </m:e>
              <m: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sub>
            </m:sSub>
          </m:num>
          <m:den>
            <m:r>
              <m:t>N</m:t>
            </m:r>
          </m:den>
        </m:f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i/>
          <w:iCs/>
        </w:rPr>
        <w:t xml:space="preserve">.</w:t>
      </w:r>
    </w:p>
    <w:bookmarkEnd w:id="21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The substitution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N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i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N</m:t>
            </m:r>
          </m:den>
        </m:f>
        <m:sSup>
          <m:e>
            <m:r>
              <m:t>t</m:t>
            </m:r>
          </m:e>
          <m:sup>
            <m:f>
              <m:fPr>
                <m:type m:val="bar"/>
              </m:fPr>
              <m:num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t</m:t>
        </m:r>
      </m:oMath>
      <w:r>
        <w:t xml:space="preserve">; and</w:t>
      </w:r>
      <w:r>
        <w:t xml:space="preserve"> </w:t>
      </w:r>
      <m:oMath>
        <m:sSup>
          <m:e>
            <m:r>
              <m:t>y</m:t>
            </m:r>
          </m:e>
          <m:sup>
            <m:r>
              <m:t>j</m:t>
            </m:r>
          </m:sup>
        </m:sSup>
        <m:r>
          <m:rPr>
            <m:sty m:val="p"/>
          </m:rPr>
          <m:t>/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t</m:t>
                </m:r>
              </m:e>
            </m:d>
          </m:e>
          <m:sup>
            <m:f>
              <m:fPr>
                <m:type m:val="bar"/>
              </m:fPr>
              <m:num>
                <m:r>
                  <m:t>j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y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. Each loop</w:t>
      </w:r>
      <w:r>
        <w:t xml:space="preserve"> </w:t>
      </w:r>
      <w:r>
        <w:t xml:space="preserve">around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multiplies the branch</w:t>
      </w:r>
      <w:r>
        <w:t xml:space="preserve"> </w:t>
      </w:r>
      <m:oMath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ζ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— the</w:t>
      </w:r>
      <w:r>
        <w:t xml:space="preserve"> </w:t>
      </w:r>
      <w:r>
        <w:t xml:space="preserve">integral by</w:t>
      </w:r>
      <w:r>
        <w:t xml:space="preserve"> </w:t>
      </w:r>
      <m:oMath>
        <m:sSubSup>
          <m:e>
            <m:r>
              <m:t>ζ</m:t>
            </m:r>
          </m:e>
          <m:sub>
            <m:r>
              <m:t>N</m:t>
            </m:r>
          </m:sub>
          <m:sup>
            <m:r>
              <m:t>a</m:t>
            </m:r>
          </m:sup>
        </m:sSubSup>
      </m:oMath>
      <w:r>
        <w:t xml:space="preserve">; a loop around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sSubSup>
          <m:e>
            <m:r>
              <m:t>ζ</m:t>
            </m:r>
          </m:e>
          <m:sub>
            <m:r>
              <m:t>N</m:t>
            </m:r>
          </m:sub>
          <m:sup>
            <m:r>
              <m:t>b</m:t>
            </m:r>
          </m:sup>
        </m:sSubSup>
      </m:oMath>
      <w:r>
        <w:t xml:space="preserve">. A</w:t>
      </w:r>
      <w:r>
        <w:t xml:space="preserve"> </w:t>
      </w:r>
      <w:r>
        <w:t xml:space="preserve">path with data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 </w:t>
      </w:r>
      <w:r>
        <w:t xml:space="preserve">carries</w:t>
      </w:r>
      <w:r>
        <w:t xml:space="preserve"> </w:t>
      </w:r>
      <m:oMath>
        <m:sSubSup>
          <m:e>
            <m:r>
              <m:t>ζ</m:t>
            </m:r>
          </m:e>
          <m:sub>
            <m:r>
              <m:t>N</m:t>
            </m:r>
          </m:sub>
          <m:sup>
            <m:r>
              <m:t>r</m:t>
            </m:r>
            <m:r>
              <m:t>a</m:t>
            </m:r>
            <m:r>
              <m:rPr>
                <m:sty m:val="p"/>
              </m:rPr>
              <m:t>+</m:t>
            </m:r>
            <m:r>
              <m:t>s</m:t>
            </m:r>
            <m:r>
              <m:t>b</m:t>
            </m:r>
          </m:sup>
        </m:sSubSup>
      </m:oMath>
      <w:r>
        <w:t xml:space="preserve"> </w:t>
      </w:r>
      <w:r>
        <w:t xml:space="preserve">on the reference</w:t>
      </w:r>
      <w:r>
        <w:t xml:space="preserve"> </w:t>
      </w:r>
      <w:r>
        <w:t xml:space="preserve">integral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B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/</m:t>
            </m:r>
            <m:r>
              <m:t>N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t xml:space="preserve">. Holomorphy: at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ζ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−</m:t>
        </m:r>
        <m:r>
          <m:t>ζ</m:t>
        </m:r>
        <m:sSup>
          <m:e>
            <m:r>
              <m:t>y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d</m:t>
        </m:r>
        <m:r>
          <m:t>y</m:t>
        </m:r>
      </m:oMath>
      <w:r>
        <w:t xml:space="preserve">; at infinity in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t>Y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Y</m:t>
        </m:r>
      </m:oMath>
      <w:r>
        <w:t xml:space="preserve"> </w:t>
      </w:r>
      <w:r>
        <w:t xml:space="preserve">the form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u</m:t>
            </m:r>
          </m:e>
          <m:sup>
            <m:r>
              <m:t>i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t> </m:t>
            </m:r>
            <m:r>
              <m:t>d</m:t>
            </m:r>
            <m:r>
              <m:t>u</m:t>
            </m:r>
            <m:r>
              <m:rPr>
                <m:sty m:val="p"/>
              </m:rPr>
              <m:t>−</m:t>
            </m:r>
            <m:r>
              <m:t>u</m:t>
            </m:r>
            <m:r>
              <m:t> </m:t>
            </m:r>
            <m:r>
              <m:t>d</m:t>
            </m:r>
            <m:r>
              <m:t>v</m:t>
            </m:r>
          </m:e>
        </m:d>
        <m:sSup>
          <m:e>
            <m:r>
              <m:t>v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−</m:t>
            </m:r>
            <m:r>
              <m:t>i</m:t>
            </m:r>
            <m:r>
              <m:rPr>
                <m:sty m:val="p"/>
              </m:rPr>
              <m:t>−</m:t>
            </m:r>
            <m:r>
              <m:t>j</m:t>
            </m:r>
          </m:sup>
        </m:sSup>
      </m:oMath>
      <w:r>
        <w:t xml:space="preserve">, regular 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Independence: forms of distinct characters are independent</w:t>
      </w:r>
      <w:r>
        <w:t xml:space="preserve"> </w:t>
      </w:r>
      <w:r>
        <w:t xml:space="preserve">(projection operators). Lattice: every cycle is an integer</w:t>
      </w:r>
      <w:r>
        <w:t xml:space="preserve"> </w:t>
      </w:r>
      <w:r>
        <w:t xml:space="preserve">combination of closed chains; the edge integral is a difference of</w:t>
      </w:r>
      <w:r>
        <w:t xml:space="preserve"> </w:t>
      </w:r>
      <w:r>
        <w:t xml:space="preserve">two closed-form values. ◻</w:t>
      </w:r>
    </w:p>
    <w:p>
      <w:pPr>
        <w:pStyle w:val="BodyText"/>
      </w:pPr>
      <w:r>
        <w:rPr>
          <w:b/>
          <w:bCs/>
        </w:rPr>
        <w:t xml:space="preserve">Corollary 3</w:t>
      </w:r>
      <w:r>
        <w:t xml:space="preserve"> </w:t>
      </w:r>
      <w:r>
        <w:t xml:space="preserve">(equivariance).</w:t>
      </w:r>
      <w:r>
        <w:t xml:space="preserve"> </w:t>
      </w:r>
      <w:r>
        <w:t xml:space="preserve"> </w:t>
      </w:r>
      <w:r>
        <w:rPr>
          <w:i/>
          <w:iCs/>
        </w:rPr>
        <w:t xml:space="preserve">Translating a cycle by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u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ζ</m:t>
                </m:r>
              </m:e>
              <m:sup>
                <m:r>
                  <m:t>v</m:t>
                </m:r>
              </m:sup>
            </m:s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multiplies the period of</w:t>
      </w:r>
      <w:r>
        <w:rPr>
          <w:i/>
          <w:iCs/>
        </w:rPr>
        <w:t xml:space="preserve"> </w:t>
      </w:r>
      <w:r>
        <w:rPr>
          <w:i/>
          <w:iCs/>
        </w:rPr>
        <w:t xml:space="preserve">the eigenform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by</w:t>
      </w:r>
      <w:r>
        <w:rPr>
          <w:i/>
          <w:iCs/>
        </w:rPr>
        <w:t xml:space="preserve"> </w:t>
      </w:r>
      <m:oMath>
        <m:sSubSup>
          <m:e>
            <m:r>
              <m:t>ζ</m:t>
            </m:r>
          </m:e>
          <m:sub>
            <m:r>
              <m:t>N</m:t>
            </m:r>
          </m:sub>
          <m:sup>
            <m:r>
              <m:t>u</m:t>
            </m:r>
            <m:r>
              <m:t>a</m:t>
            </m:r>
            <m:r>
              <m:rPr>
                <m:sty m:val="p"/>
              </m:rPr>
              <m:t>+</m:t>
            </m:r>
            <m:r>
              <m:t>v</m:t>
            </m:r>
            <m:r>
              <m:t>b</m:t>
            </m:r>
          </m:sup>
        </m:sSubSup>
      </m:oMath>
      <w:r>
        <w:rPr>
          <w:i/>
          <w:iCs/>
        </w:rPr>
        <w:t xml:space="preserve">.</w:t>
      </w:r>
    </w:p>
    <w:p>
      <w:pPr>
        <w:pStyle w:val="BlockText"/>
      </w:pPr>
      <w:r>
        <w:rPr>
          <w:b/>
          <w:bCs/>
        </w:rPr>
        <w:t xml:space="preserve">Protocol data (numbers).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: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=</m:t>
        </m:r>
        <m:r>
          <m:t>246.897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t xml:space="preserve">:</w:t>
      </w:r>
      <w:r>
        <w:t xml:space="preserve"> </w:t>
      </w:r>
      <m:oMath>
        <m:sSub>
          <m:e>
            <m:r>
              <m:t>Ω</m:t>
            </m:r>
          </m:e>
          <m:sub>
            <m:r>
              <m:t>7</m:t>
            </m:r>
            <m:r>
              <m:rPr>
                <m:sty m:val="p"/>
              </m:rPr>
              <m:t>,</m:t>
            </m:r>
            <m:r>
              <m:t>8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sSup>
          <m:e>
            <m:r>
              <m:t>84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3.16298</m:t>
        </m:r>
        <m:r>
          <m:rPr>
            <m:sty m:val="p"/>
          </m:rPr>
          <m:t>…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pure fractional share of</w:t>
      </w:r>
      <w:r>
        <w:t xml:space="preserve"> </w:t>
      </w:r>
      <m:oMath>
        <m:r>
          <m:t>π</m:t>
        </m:r>
      </m:oMath>
      <w:r>
        <w:t xml:space="preserve">. Certificate B (V2): maximal</w:t>
      </w:r>
      <w:r>
        <w:t xml:space="preserve"> </w:t>
      </w:r>
      <w:r>
        <w:t xml:space="preserve">relative deviation from independent tanh-sinh over</w:t>
      </w:r>
      <w:r>
        <w:t xml:space="preserve"> </w:t>
      </w:r>
      <m:oMath>
        <m:r>
          <m:t>69</m:t>
        </m:r>
      </m:oMath>
      <w:r>
        <w:t xml:space="preserve"> </w:t>
      </w:r>
      <w:r>
        <w:t xml:space="preserve">tests —</w:t>
      </w:r>
      <w:r>
        <w:t xml:space="preserve"> </w:t>
      </w:r>
      <m:oMath>
        <m:r>
          <m:t>3.9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; phases (V3) — deviation</w:t>
      </w:r>
      <w:r>
        <w:t xml:space="preserve"> </w:t>
      </w:r>
      <m:oMath>
        <m:r>
          <m:t>0.0</m:t>
        </m:r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Summary of results (summary).</w:t>
      </w:r>
      <w:r>
        <w:t xml:space="preserve"> </w:t>
      </w:r>
      <w:r>
        <w:t xml:space="preserve">The closed form is proved by substitution and branch analysis;</w:t>
      </w:r>
      <w:r>
        <w:t xml:space="preserve"> </w:t>
      </w:r>
      <w:r>
        <w:t xml:space="preserve">equivariance is a direct corollary. The phase is fixed explicitly —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global phase</w:t>
      </w:r>
      <w:r>
        <w:t xml:space="preserve">”</w:t>
      </w:r>
      <w:r>
        <w:t xml:space="preserve"> </w:t>
      </w:r>
      <w:r>
        <w:t xml:space="preserve">is sought or postulated.</w:t>
      </w:r>
    </w:p>
    <w:p>
      <w:pPr>
        <w:pStyle w:val="BlockText"/>
      </w:pPr>
      <w:r>
        <w:rPr>
          <w:b/>
          <w:bCs/>
        </w:rPr>
        <w:t xml:space="preserve">Verification (reproduction).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“</w:t>
      </w:r>
      <w:r>
        <w:t xml:space="preserve">Stand N=15/30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V2/V3/V4</w:t>
      </w:r>
      <w:r>
        <w:t xml:space="preserve">”</w:t>
      </w:r>
      <w:r>
        <w:t xml:space="preserve">; the experiment designer accepts arbitrary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 </w:t>
      </w:r>
      <w:r>
        <w:t xml:space="preserve">and prints the closed form, the independent integral, and</w:t>
      </w:r>
      <w:r>
        <w:t xml:space="preserve"> </w:t>
      </w:r>
      <w:r>
        <w:t xml:space="preserve">the verdict.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License: individual exclusive license of Isaev Iskhak Khamzatovich.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All rights to the computations, formulas, and texts belong to the author.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Verification: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Stands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/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Certificates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2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Closed Form of the Period</dc:title>
  <dc:creator>Isaev Iskhak Khamzatovich</dc:creator>
  <dc:language>en-US</dc:language>
  <cp:keywords>hodge-laboratory, theorem monograph, EN</cp:keywords>
  <dcterms:created xsi:type="dcterms:W3CDTF">2026-09-23T16:56:50Z</dcterms:created>
  <dcterms:modified xsi:type="dcterms:W3CDTF">2026-09-23T16:56:50Z</dcterms:modified>
  <dc:subject>Standalone theorem monograph 2/16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