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Замкнутая форма периода</w:t>
      </w:r>
    </w:p>
    <w:p>
      <w:pPr>
        <w:jc w:val="center"/>
      </w:pPr>
      <w:r>
        <w:rPr>
          <w:b w:val="0"/>
          <w:i w:val="0"/>
          <w:color w:val="404040"/>
          <w:sz w:val="26"/>
        </w:rPr>
        <w:t>бета-интеграл, фазовая решётка и эквивариантность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2/16</w:t>
      </w:r>
    </w:p>
    <w:bookmarkStart w:id="22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Периоды кривой Ферма — интегралы голоморфных форм по циклам —</w:t>
      </w:r>
      <w:r>
        <w:t xml:space="preserve"> </w:t>
      </w:r>
      <w:r>
        <w:t xml:space="preserve">допускают замкнутую форму: трансцендентная часть (бета-интеграл) и</w:t>
      </w:r>
      <w:r>
        <w:t xml:space="preserve"> </w:t>
      </w:r>
      <w:r>
        <w:t xml:space="preserve">алгебраическая часть (корень единицы) разделяются явно. Это</w:t>
      </w:r>
      <w:r>
        <w:t xml:space="preserve"> </w:t>
      </w:r>
      <w:r>
        <w:t xml:space="preserve">разделение — техническое основание всей</w:t>
      </w:r>
      <w:r>
        <w:t xml:space="preserve"> </w:t>
      </w:r>
      <m:oMath>
        <m:r>
          <m:t>Γ</m:t>
        </m:r>
      </m:oMath>
      <w:r>
        <w:t xml:space="preserve">-нормировки</w:t>
      </w:r>
      <w:r>
        <w:t xml:space="preserve"> </w:t>
      </w:r>
      <w:r>
        <w:t xml:space="preserve">программы: не имея замкнутой формы, нормировка была бы численной</w:t>
      </w:r>
      <w:r>
        <w:t xml:space="preserve"> </w:t>
      </w:r>
      <w:r>
        <w:t xml:space="preserve">подгонкой.</w:t>
      </w:r>
    </w:p>
    <w:bookmarkStart w:id="20" w:name="lem:forms"/>
    <w:p>
      <w:pPr>
        <w:pStyle w:val="BodyText"/>
      </w:pPr>
      <w:r>
        <w:rPr>
          <w:b/>
          <w:bCs/>
        </w:rPr>
        <w:t xml:space="preserve">Лемма 1</w:t>
      </w:r>
      <w:r>
        <w:t xml:space="preserve"> </w:t>
      </w:r>
      <w:r>
        <w:t xml:space="preserve">(базис голоморфных форм).</w:t>
      </w:r>
      <w:r>
        <w:t xml:space="preserve"> </w:t>
      </w:r>
      <w:r>
        <w:t xml:space="preserve"> </w:t>
      </w:r>
      <w:r>
        <w:rPr>
          <w:i/>
          <w:iCs/>
        </w:rPr>
        <w:t xml:space="preserve">Формы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r>
                <m:t> </m:t>
              </m:r>
              <m:sSup>
                <m:e>
                  <m:r>
                    <m:t>y</m:t>
                  </m:r>
                </m:e>
                <m:sup>
                  <m:r>
                    <m:t>j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голоморфны на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; их число равно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, и они образуют базис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rPr>
          <w:i/>
          <w:iCs/>
        </w:rPr>
        <w:t xml:space="preserve">. Каждая</w:t>
      </w:r>
      <w:r>
        <w:rPr>
          <w:i/>
          <w:iCs/>
        </w:rP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собственная форма</w:t>
      </w:r>
      <w:r>
        <w:rPr>
          <w:i/>
          <w:iCs/>
        </w:rPr>
        <w:t xml:space="preserve"> </w:t>
      </w:r>
      <w:r>
        <w:rPr>
          <w:i/>
          <w:iCs/>
        </w:rPr>
        <w:t xml:space="preserve">действия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с характером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i/>
          <w:iCs/>
        </w:rPr>
        <w:t xml:space="preserve">.</w:t>
      </w:r>
    </w:p>
    <w:bookmarkEnd w:id="20"/>
    <w:bookmarkStart w:id="21" w:name="lem:closedform"/>
    <w:p>
      <w:pPr>
        <w:pStyle w:val="FirstParagraph"/>
      </w:pPr>
      <w:r>
        <w:rPr>
          <w:b/>
          <w:bCs/>
        </w:rPr>
        <w:t xml:space="preserve">Лемма 2</w:t>
      </w:r>
      <w:r>
        <w:t xml:space="preserve"> </w:t>
      </w:r>
      <w:r>
        <w:t xml:space="preserve">(замкнутая форма периода).</w:t>
      </w:r>
      <w:r>
        <w:t xml:space="preserve"> </w:t>
      </w:r>
      <w:r>
        <w:t xml:space="preserve"> </w:t>
      </w:r>
      <w:r>
        <w:rPr>
          <w:i/>
          <w:iCs/>
        </w:rPr>
        <w:t xml:space="preserve">В координате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справедливо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sSup>
            <m:e>
              <m:r>
                <m:t>t</m:t>
              </m:r>
            </m:e>
            <m:su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  <m:sup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Для подъёма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пути с данными обхода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∈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период имеет замкнутую форму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sSubSup>
            <m:e>
              <m:r>
                <m:t>ζ</m:t>
              </m:r>
            </m:e>
            <m:sub>
              <m:r>
                <m:t>N</m:t>
              </m:r>
            </m:sub>
            <m:sup>
              <m:r>
                <m:t> </m:t>
              </m:r>
              <m:r>
                <m:t>r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b</m:t>
              </m:r>
            </m:sup>
          </m:sSubSup>
          <m:r>
            <m:t> </m:t>
          </m:r>
          <m:sSub>
            <m:e>
              <m:r>
                <m:t>Ω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num>
            <m:den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den>
          </m:f>
          <m:r>
            <m:t> 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Образ период-функционала лежит в решётке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i/>
          <w:iCs/>
        </w:rPr>
        <w:t xml:space="preserve">.</w:t>
      </w:r>
    </w:p>
    <w:bookmarkEnd w:id="2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Подстановка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даёт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x</m:t>
        </m:r>
      </m:oMath>
      <w:r>
        <w:t xml:space="preserve">, значит</w:t>
      </w:r>
      <w:r>
        <w:t xml:space="preserve"> </w:t>
      </w:r>
      <m:oMath>
        <m:sSup>
          <m:e>
            <m:r>
              <m:t>x</m:t>
            </m:r>
          </m:e>
          <m:sup>
            <m:r>
              <m:t>i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; и</w:t>
      </w:r>
      <w:r>
        <w:t xml:space="preserve"> </w:t>
      </w:r>
      <m:oMath>
        <m:sSup>
          <m:e>
            <m:r>
              <m:t>y</m:t>
            </m:r>
          </m:e>
          <m:sup>
            <m:r>
              <m:t>j</m:t>
            </m:r>
          </m:sup>
        </m:sSup>
        <m:r>
          <m:rPr>
            <m:sty m:val="p"/>
          </m:rPr>
          <m:t>/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f>
              <m:fPr>
                <m:type m:val="bar"/>
              </m:fPr>
              <m:num>
                <m:r>
                  <m:t>j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так как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. Каждая</w:t>
      </w:r>
      <w:r>
        <w:t xml:space="preserve"> </w:t>
      </w:r>
      <w:r>
        <w:t xml:space="preserve">полная петля вокруг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умножает ветвь</w:t>
      </w:r>
      <w:r>
        <w:t xml:space="preserve"> </w:t>
      </w:r>
      <m:oMath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ζ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интеграл умножается на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a</m:t>
            </m:r>
          </m:sup>
        </m:sSubSup>
      </m:oMath>
      <w:r>
        <w:t xml:space="preserve">; петля вокруг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даёт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b</m:t>
            </m:r>
          </m:sup>
        </m:sSubSup>
      </m:oMath>
      <w:r>
        <w:t xml:space="preserve">. Путь с данными обхода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несёт множитель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</m:oMath>
      <w:r>
        <w:t xml:space="preserve"> </w:t>
      </w:r>
      <w:r>
        <w:t xml:space="preserve">на эталонном интеграле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t</m:t>
                </m:r>
              </m:e>
              <m:sup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. Голоморфность: в точке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имеем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−</m:t>
        </m:r>
        <m:r>
          <m:t>ζ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y</m:t>
        </m:r>
      </m:oMath>
      <w:r>
        <w:t xml:space="preserve">, форма регулярна; в</w:t>
      </w:r>
      <w:r>
        <w:t xml:space="preserve"> </w:t>
      </w:r>
      <w:r>
        <w:t xml:space="preserve">бесконечности в координатах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Y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форма равна</w:t>
      </w:r>
      <w:r>
        <w:t xml:space="preserve"> </w:t>
      </w:r>
      <m:oMath>
        <m:sSup>
          <m:e>
            <m:r>
              <m:t>u</m:t>
            </m:r>
          </m:e>
          <m:sup>
            <m:r>
              <m:t>i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 </m:t>
            </m:r>
            <m:r>
              <m:t>d</m:t>
            </m:r>
            <m:r>
              <m:t>u</m:t>
            </m:r>
            <m:r>
              <m:rPr>
                <m:sty m:val="p"/>
              </m:rPr>
              <m:t>−</m:t>
            </m:r>
            <m:r>
              <m:t>u</m:t>
            </m:r>
            <m:r>
              <m:t> </m:t>
            </m:r>
            <m:r>
              <m:t>d</m:t>
            </m:r>
            <m:r>
              <m:t>v</m:t>
            </m:r>
          </m:e>
        </m:d>
        <m:sSup>
          <m:e>
            <m:r>
              <m:t>v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sup>
        </m:sSup>
      </m:oMath>
      <w:r>
        <w:t xml:space="preserve"> </w:t>
      </w:r>
      <w:r>
        <w:t xml:space="preserve">— регулярна при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Независимость: формы с различными характерами независимы</w:t>
      </w:r>
      <w:r>
        <w:t xml:space="preserve"> </w:t>
      </w:r>
      <w:r>
        <w:t xml:space="preserve">(проекционные операторы по группе). Решётка: любой цикл —</w:t>
      </w:r>
      <w:r>
        <w:t xml:space="preserve"> </w:t>
      </w:r>
      <w:r>
        <w:t xml:space="preserve">целочисленная комбинация замкнутых цепей, интеграл по ребру —</w:t>
      </w:r>
      <w:r>
        <w:t xml:space="preserve"> </w:t>
      </w:r>
      <w:r>
        <w:t xml:space="preserve">разность двух значений замкнутой формы. ◻</w:t>
      </w:r>
    </w:p>
    <w:p>
      <w:pPr>
        <w:pStyle w:val="BodyText"/>
      </w:pPr>
      <w:r>
        <w:rPr>
          <w:b/>
          <w:bCs/>
        </w:rPr>
        <w:t xml:space="preserve">Следствие 3</w:t>
      </w:r>
      <w:r>
        <w:t xml:space="preserve"> </w:t>
      </w:r>
      <w:r>
        <w:t xml:space="preserve">(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-эквивариантность).</w:t>
      </w:r>
      <w:r>
        <w:t xml:space="preserve"> </w:t>
      </w:r>
      <w:r>
        <w:t xml:space="preserve"> </w:t>
      </w:r>
      <w:r>
        <w:rPr>
          <w:i/>
          <w:iCs/>
        </w:rPr>
        <w:t xml:space="preserve">Перенос цикла действием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u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ζ</m:t>
                </m:r>
              </m:e>
              <m:sup>
                <m:r>
                  <m:t>v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умножает период</w:t>
      </w:r>
      <w:r>
        <w:rPr>
          <w:i/>
          <w:iCs/>
        </w:rPr>
        <w:t xml:space="preserve"> </w:t>
      </w:r>
      <w:r>
        <w:rPr>
          <w:i/>
          <w:iCs/>
        </w:rPr>
        <w:t xml:space="preserve">собственной формы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на</w:t>
      </w:r>
      <w:r>
        <w:rPr>
          <w:i/>
          <w:iCs/>
        </w:rP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u</m:t>
            </m:r>
            <m:r>
              <m:t>a</m:t>
            </m:r>
            <m:r>
              <m:rPr>
                <m:sty m:val="p"/>
              </m:rPr>
              <m:t>+</m:t>
            </m:r>
            <m:r>
              <m:t>v</m:t>
            </m:r>
            <m:r>
              <m:t>b</m:t>
            </m:r>
          </m:sup>
        </m:sSubSup>
      </m:oMath>
      <w:r>
        <w:rPr>
          <w:i/>
          <w:iCs/>
        </w:rPr>
        <w:t xml:space="preserve">.</w:t>
      </w:r>
    </w:p>
    <w:p>
      <w:pPr>
        <w:pStyle w:val="BlockText"/>
      </w:pPr>
      <w:r>
        <w:rPr>
          <w:b/>
          <w:bCs/>
        </w:rPr>
        <w:t xml:space="preserve">Данные протокола (числа).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r>
              <m:t>15</m:t>
            </m:r>
          </m:e>
        </m:d>
        <m:r>
          <m:rPr>
            <m:sty m:val="p"/>
          </m:rPr>
          <m:t>=</m:t>
        </m:r>
        <m:r>
          <m:t>246.897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Ω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8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sSup>
          <m:e>
            <m:r>
              <m:t>84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3.16298</m:t>
        </m:r>
        <m:r>
          <m:rPr>
            <m:sty m:val="p"/>
          </m:rPr>
          <m:t>…</m:t>
        </m:r>
      </m:oMath>
      <w:r>
        <w:t xml:space="preserve"> </w:t>
      </w:r>
      <w:r>
        <w:t xml:space="preserve">— чистая дробная доля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Сертификат B (V2): максимум относительного отклонения замкнутой</w:t>
      </w:r>
      <w:r>
        <w:t xml:space="preserve"> </w:t>
      </w:r>
      <w:r>
        <w:t xml:space="preserve">формы от независимого tanh-sinh на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тестах —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фазы (V3) — отклонение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радиан.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Замкнутая форма периода доказана подстановкой и анализом ветвлений;</w:t>
      </w:r>
      <w:r>
        <w:t xml:space="preserve"> </w:t>
      </w:r>
      <w:r>
        <w:t xml:space="preserve">эквивариантность — прямое следствие. Фаза фиксируется явно —</w:t>
      </w:r>
      <w:r>
        <w:t xml:space="preserve"> </w:t>
      </w:r>
      <w:r>
        <w:t xml:space="preserve">никакая «общая фаза» не ищется и не постулируется.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&lt;&lt;Стенд N=15/30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V2/V3/V4&gt;&gt;; конструктор экспериментов: произвольные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— лаборатория печатает замкнутую форму, независимый</w:t>
      </w:r>
      <w:r>
        <w:t xml:space="preserve"> </w:t>
      </w:r>
      <w:r>
        <w:t xml:space="preserve">интеграл и вердикт.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2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Замкнутая форма периода</dc:title>
  <dc:creator>Исаев Исхак Хамзатович</dc:creator>
  <dc:language>ru-RU</dc:language>
  <cp:keywords>hodge-laboratory, theorem monograph, RU</cp:keywords>
  <dcterms:created xsi:type="dcterms:W3CDTF">2026-09-23T16:56:50Z</dcterms:created>
  <dcterms:modified xsi:type="dcterms:W3CDTF">2026-09-23T16:56:50Z</dcterms:modified>
  <dc:subject>Standalone theorem monograph 2/16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