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The Gamma Identities</w:t>
      </w:r>
    </w:p>
    <w:p>
      <w:pPr>
        <w:jc w:val="center"/>
      </w:pPr>
      <w:r>
        <w:rPr>
          <w:b w:val="0"/>
          <w:i w:val="0"/>
          <w:color w:val="404040"/>
          <w:sz w:val="26"/>
        </w:rPr>
        <w:t>the reflection formula and the Gauss multiplication formula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3/16</w:t>
      </w:r>
    </w:p>
    <w:bookmarkStart w:id="23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The entire analytic toolkit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 consists of two</w:t>
      </w:r>
      <w:r>
        <w:t xml:space="preserve"> </w:t>
      </w:r>
      <w:r>
        <w:t xml:space="preserve">functional identities of the gamma function. Nothing else is needed:</w:t>
      </w:r>
      <w:r>
        <w:t xml:space="preserve"> </w:t>
      </w:r>
      <w:r>
        <w:t xml:space="preserve">all relations among the</w:t>
      </w:r>
      <w:r>
        <w:t xml:space="preserve"> </w:t>
      </w:r>
      <m:oMath>
        <m:r>
          <m:t>Γ</m:t>
        </m:r>
      </m:oMath>
      <w:r>
        <w:t xml:space="preserve">-products used by the program follow</w:t>
      </w:r>
      <w:r>
        <w:t xml:space="preserve"> </w:t>
      </w:r>
      <w:r>
        <w:t xml:space="preserve">from these two.</w:t>
      </w:r>
    </w:p>
    <w:bookmarkStart w:id="20" w:name="lem:reflection"/>
    <w:p>
      <w:pPr>
        <w:pStyle w:val="BodyText"/>
      </w:pPr>
      <w:r>
        <w:rPr>
          <w:b/>
          <w:bCs/>
        </w:rPr>
        <w:t xml:space="preserve">Lemma 1</w:t>
      </w:r>
      <w:r>
        <w:t xml:space="preserve"> </w:t>
      </w:r>
      <w:r>
        <w:t xml:space="preserve">(reflection formula).</w:t>
      </w:r>
      <w:r>
        <w:t xml:space="preserve"> </w:t>
      </w:r>
      <w: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C</m:t>
        </m:r>
        <m:r>
          <m:rPr>
            <m:sty m:val="p"/>
          </m:rPr>
          <m:t>\</m:t>
        </m:r>
        <m:r>
          <m:rPr>
            <m:sty m:val="p"/>
            <m:scr m:val="double-struck"/>
          </m:rPr>
          <m:t>Z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rPr>
                <m:sty m:val="p"/>
              </m:rPr>
              <m:t>sin</m:t>
            </m:r>
            <m:r>
              <m:t>π</m:t>
            </m:r>
            <m:r>
              <m:t>z</m:t>
            </m:r>
          </m:den>
        </m:f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key is Euler’s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u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u</m:t>
                </m:r>
              </m:den>
            </m:f>
          </m:e>
        </m:nary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rPr>
                <m:sty m:val="p"/>
              </m:rPr>
              <m:t>sin</m:t>
            </m:r>
            <m:r>
              <m:t>π</m:t>
            </m:r>
            <m:r>
              <m:t>z</m:t>
            </m:r>
          </m:den>
        </m:f>
      </m:oMath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t xml:space="preserve">), proved by residues over the keyhole contour: the</w:t>
      </w:r>
      <w:r>
        <w:t xml:space="preserve"> </w:t>
      </w:r>
      <w:r>
        <w:t xml:space="preserve">unique pole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residue</w:t>
      </w:r>
      <w:r>
        <w:t xml:space="preserve"> </w:t>
      </w:r>
      <m:oMath>
        <m:r>
          <m:t>1</m:t>
        </m:r>
      </m:oMath>
      <w:r>
        <w:t xml:space="preserve">; the two sides of the cut give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π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e>
                </m:d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π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e>
                </m:d>
              </m:sup>
            </m:sSup>
          </m:e>
        </m:d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π</m:t>
        </m:r>
        <m:r>
          <m:t>i</m:t>
        </m:r>
      </m:oMath>
      <w:r>
        <w:t xml:space="preserve">. The substitution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u</m:t>
            </m:r>
          </m:den>
        </m:f>
      </m:oMath>
      <w:r>
        <w:t xml:space="preserve"> </w:t>
      </w:r>
      <w:r>
        <w:t xml:space="preserve">turns the integral into</w:t>
      </w:r>
      <w:r>
        <w:t xml:space="preserve"> </w:t>
      </w:r>
      <m:oMath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</m:oMath>
      <w:r>
        <w:t xml:space="preserve">; analytic</w:t>
      </w:r>
      <w:r>
        <w:t xml:space="preserve"> </w:t>
      </w:r>
      <w:r>
        <w:t xml:space="preserve">continuation extends the identity. ◻</w:t>
      </w:r>
    </w:p>
    <w:bookmarkStart w:id="21" w:name="lem:gauss"/>
    <w:p>
      <w:pPr>
        <w:pStyle w:val="BodyText"/>
      </w:pPr>
      <w:r>
        <w:rPr>
          <w:b/>
          <w:bCs/>
        </w:rPr>
        <w:t xml:space="preserve">Lemma 2</w:t>
      </w:r>
      <w:r>
        <w:t xml:space="preserve"> </w:t>
      </w:r>
      <w:r>
        <w:t xml:space="preserve">(Gauss multiplication).</w:t>
      </w:r>
      <w:r>
        <w:t xml:space="preserve"> </w:t>
      </w:r>
      <w:r>
        <w:t xml:space="preserve"> </w:t>
      </w:r>
      <w:r>
        <w:rPr>
          <w:i/>
          <w:iCs/>
        </w:rPr>
        <w:t xml:space="preserve">For integers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≥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m</m:t>
        </m:r>
        <m:r>
          <m:t>z</m:t>
        </m:r>
        <m:r>
          <m:rPr>
            <m:sty m:val="p"/>
          </m:rPr>
          <m:t>∉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rPr>
                <m:sty m:val="p"/>
              </m:rPr>
              <m:t>≤</m:t>
            </m:r>
            <m:r>
              <m:t>0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Γ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k</m:t>
                </m:r>
              </m:num>
              <m:den>
                <m:r>
                  <m:t>m</m:t>
                </m:r>
              </m:den>
            </m:f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f>
              <m:fPr>
                <m:type m:val="bar"/>
              </m:fPr>
              <m:num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sSup>
          <m:e>
            <m:r>
              <m:t>m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m</m:t>
            </m:r>
            <m:r>
              <m:t>z</m:t>
            </m:r>
          </m:sup>
        </m:sSup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z</m:t>
            </m:r>
          </m:e>
        </m:d>
      </m:oMath>
      <w:r>
        <w:rPr>
          <w:i/>
          <w:iCs/>
        </w:rP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ratio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-periodic and holomorphic: the</w:t>
      </w:r>
      <w:r>
        <w:t xml:space="preserve"> </w:t>
      </w:r>
      <w:r>
        <w:t xml:space="preserve">recurrence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w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gives equal logarithmic derivatives.</w:t>
      </w:r>
      <w:r>
        <w:t xml:space="preserve"> </w:t>
      </w:r>
      <w:r>
        <w:t xml:space="preserve">Stirling’s formula gives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in vertical</w:t>
      </w:r>
      <w:r>
        <w:t xml:space="preserve"> </w:t>
      </w:r>
      <w:r>
        <w:t xml:space="preserve">strips; periodicity spreads the limit; hence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. ◻</w:t>
      </w:r>
    </w:p>
    <w:bookmarkStart w:id="22" w:name="lem:relations"/>
    <w:p>
      <w:pPr>
        <w:pStyle w:val="BodyText"/>
      </w:pPr>
      <w:r>
        <w:rPr>
          <w:b/>
          <w:bCs/>
        </w:rPr>
        <w:t xml:space="preserve">Lemma 3</w:t>
      </w:r>
      <w:r>
        <w:t xml:space="preserve"> </w:t>
      </w:r>
      <w:r>
        <w:t xml:space="preserve">(inventory of relations).</w:t>
      </w:r>
      <w:r>
        <w:t xml:space="preserve"> </w:t>
      </w:r>
      <w:r>
        <w:t xml:space="preserve"> </w:t>
      </w:r>
      <w:r>
        <w:rPr>
          <w:i/>
          <w:iCs/>
        </w:rPr>
        <w:t xml:space="preserve">All used relations among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follow from</w:t>
      </w:r>
      <w:r>
        <w:rPr>
          <w:i/>
          <w:iCs/>
        </w:rPr>
        <w:t xml:space="preserve"> </w:t>
      </w:r>
      <w:r>
        <w:rPr>
          <w:i/>
          <w:iCs/>
        </w:rPr>
        <w:t xml:space="preserve">the two identities: (1)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(2)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N</m:t>
        </m:r>
      </m:oMath>
      <w:r>
        <w:rPr>
          <w:i/>
          <w:iCs/>
        </w:rPr>
        <w:t xml:space="preserve">: reduction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den>
        </m:f>
        <m:f>
          <m:fPr>
            <m:type m:val="bar"/>
          </m:fPr>
          <m:num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num>
          <m:den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den>
        </m:f>
      </m:oMath>
      <w:r>
        <w:rPr>
          <w:i/>
          <w:iCs/>
        </w:rPr>
        <w:t xml:space="preserve">; (3)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t>N</m:t>
        </m:r>
      </m:oMath>
      <w:r>
        <w:rPr>
          <w:i/>
          <w:iCs/>
        </w:rPr>
        <w:t xml:space="preserve">: canonical.</w:t>
      </w:r>
    </w:p>
    <w:bookmarkEnd w:id="22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Point 1 — reflection at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/</m:t>
        </m:r>
        <m:r>
          <m:t>N</m:t>
        </m:r>
      </m:oMath>
      <w:r>
        <w:t xml:space="preserve">; point 2 — the recurrence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num>
              <m:den>
                <m:r>
                  <m:t>N</m:t>
                </m:r>
              </m:den>
            </m:f>
          </m:e>
        </m:d>
      </m:oMath>
      <w:r>
        <w:t xml:space="preserve">; point 3 —</w:t>
      </w:r>
      <w:r>
        <w:t xml:space="preserve"> </w:t>
      </w:r>
      <w:r>
        <w:t xml:space="preserve">by definition. ◻</w:t>
      </w:r>
    </w:p>
    <w:p>
      <w:pPr>
        <w:pStyle w:val="BlockText"/>
      </w:pPr>
      <w:r>
        <w:rPr>
          <w:b/>
          <w:bCs/>
        </w:rPr>
        <w:t xml:space="preserve">Protocol data (numbers).</w:t>
      </w:r>
      <w:r>
        <w:t xml:space="preserve"> </w:t>
      </w:r>
      <w:r>
        <w:t xml:space="preserve">The reflection ladder (V6):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; maximal relative deviation</w:t>
      </w:r>
      <w:r>
        <w:t xml:space="preserve"> </w:t>
      </w:r>
      <m:oMath>
        <m:r>
          <m:t>7.0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Both identities are derived from integral representations and the</w:t>
      </w:r>
      <w:r>
        <w:t xml:space="preserve"> </w:t>
      </w:r>
      <w:r>
        <w:t xml:space="preserve">residue theorem — no external results. The inventory fixes the</w:t>
      </w:r>
      <w:r>
        <w:t xml:space="preserve"> </w:t>
      </w:r>
      <w:r>
        <w:t xml:space="preserve">scope: the full classification of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-relations (Rohrlich) is not</w:t>
      </w:r>
      <w:r>
        <w:t xml:space="preserve"> </w:t>
      </w:r>
      <w:r>
        <w:t xml:space="preserve">used — sufficiency is verified by the rank (V7: rank</w:t>
      </w:r>
      <w:r>
        <w:t xml:space="preserve"> </w:t>
      </w:r>
      <m:oMath>
        <m:r>
          <m:rPr>
            <m:sty m:val="p"/>
          </m:rPr>
          <m:t>=</m:t>
        </m:r>
        <m:r>
          <m:t>g</m:t>
        </m:r>
      </m:oMath>
      <w:r>
        <w:t xml:space="preserve">).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Stand N=15/30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V6</w:t>
      </w:r>
      <w:r>
        <w:t xml:space="preserve">”</w:t>
      </w:r>
      <w:r>
        <w:t xml:space="preserve">;</w:t>
      </w:r>
      <w:r>
        <w:t xml:space="preserve"> </w:t>
      </w:r>
      <w:r>
        <w:t xml:space="preserve">the plot</w:t>
      </w:r>
      <w:r>
        <w:t xml:space="preserve"> </w:t>
      </w:r>
      <w:r>
        <w:rPr>
          <w:rStyle w:val="VerbatimChar"/>
        </w:rPr>
        <w:t xml:space="preserve">fig_gamma.png</w:t>
      </w:r>
      <w:r>
        <w:t xml:space="preserve"> </w:t>
      </w:r>
      <w:r>
        <w:t xml:space="preserve">(</w:t>
      </w:r>
      <m:oMath>
        <m:r>
          <m:t>600</m:t>
        </m:r>
      </m:oMath>
      <w:r>
        <w:t xml:space="preserve"> dpi) is the numerical</w:t>
      </w:r>
      <w:r>
        <w:t xml:space="preserve"> </w:t>
      </w:r>
      <w:r>
        <w:t xml:space="preserve">portrait of the identity.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3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Gamma Identities</dc:title>
  <dc:creator>Isaev Iskhak Khamzatovich</dc:creator>
  <dc:language>en-US</dc:language>
  <cp:keywords>hodge-laboratory, theorem monograph, EN</cp:keywords>
  <dcterms:created xsi:type="dcterms:W3CDTF">2026-09-23T16:56:51Z</dcterms:created>
  <dcterms:modified xsi:type="dcterms:W3CDTF">2026-09-23T16:56:51Z</dcterms:modified>
  <dc:subject>Standalone theorem monograph 3/16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