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Γ-тождества</w:t>
      </w:r>
    </w:p>
    <w:p>
      <w:pPr>
        <w:jc w:val="center"/>
      </w:pPr>
      <w:r>
        <w:rPr>
          <w:b w:val="0"/>
          <w:i w:val="0"/>
          <w:color w:val="404040"/>
          <w:sz w:val="26"/>
        </w:rPr>
        <w:t>формула отражения и формула умножения Гаусса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3/16</w:t>
      </w:r>
    </w:p>
    <w:bookmarkStart w:id="23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Весь аналитический инструментарий стенда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— два</w:t>
      </w:r>
      <w:r>
        <w:t xml:space="preserve"> </w:t>
      </w:r>
      <w:r>
        <w:t xml:space="preserve">функциональных тождества гамма-функции. Принципиально, что больше</w:t>
      </w:r>
      <w:r>
        <w:t xml:space="preserve"> </w:t>
      </w:r>
      <w:r>
        <w:t xml:space="preserve">ничего не требуется: все соотношения между используемыми</w:t>
      </w:r>
      <w:r>
        <w:t xml:space="preserve"> </w:t>
      </w:r>
      <m:oMath>
        <m:r>
          <m:t>Γ</m:t>
        </m:r>
      </m:oMath>
      <w:r>
        <w:t xml:space="preserve">-произведениями выводятся из этих двух тождеств.</w:t>
      </w:r>
    </w:p>
    <w:bookmarkStart w:id="20" w:name="lem:reflection"/>
    <w:p>
      <w:pPr>
        <w:pStyle w:val="BodyText"/>
      </w:pPr>
      <w:r>
        <w:rPr>
          <w:b/>
          <w:bCs/>
        </w:rPr>
        <w:t xml:space="preserve">Лемма 1</w:t>
      </w:r>
      <w:r>
        <w:t xml:space="preserve"> </w:t>
      </w:r>
      <w:r>
        <w:t xml:space="preserve">(формула отражения).</w:t>
      </w:r>
      <w:r>
        <w:t xml:space="preserve"> </w:t>
      </w:r>
      <w:r>
        <w:t xml:space="preserve"> </w:t>
      </w:r>
      <w:r>
        <w:rPr>
          <w:i/>
          <w:iCs/>
        </w:rPr>
        <w:t xml:space="preserve">Для всех</w:t>
      </w:r>
      <w:r>
        <w:rPr>
          <w:i/>
          <w:iCs/>
        </w:rP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C</m:t>
        </m:r>
        <m:r>
          <m:rPr>
            <m:sty m:val="p"/>
          </m:rPr>
          <m:t>\</m:t>
        </m:r>
        <m:r>
          <m:rPr>
            <m:sty m:val="p"/>
            <m:scr m:val="double-struck"/>
          </m:rPr>
          <m:t>Z</m:t>
        </m:r>
      </m:oMath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z</m:t>
              </m:r>
            </m:e>
          </m:d>
          <m:r>
            <m:t> </m:t>
          </m:r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z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rPr>
                  <m:sty m:val="p"/>
                </m:rPr>
                <m:t>sin</m:t>
              </m:r>
              <m:r>
                <m:t>π</m:t>
              </m:r>
              <m:r>
                <m:t>z</m:t>
              </m:r>
            </m:den>
          </m:f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Ключевое звено — интеграл Эйлера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u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u</m:t>
                </m:r>
              </m:den>
            </m:f>
          </m:e>
        </m:nary>
        <m:r>
          <m:t> </m:t>
        </m:r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rPr>
                <m:sty m:val="p"/>
              </m:rPr>
              <m:t>sin</m:t>
            </m:r>
            <m:r>
              <m:t>π</m:t>
            </m:r>
            <m:r>
              <m:t>z</m:t>
            </m:r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&lt;</m:t>
        </m:r>
        <m:r>
          <m:t>1</m:t>
        </m:r>
      </m:oMath>
      <w:r>
        <w:t xml:space="preserve">, доказываемый вычетами по ключевому контуру:</w:t>
      </w:r>
      <w:r>
        <w:t xml:space="preserve"> </w:t>
      </w:r>
      <w:r>
        <w:t xml:space="preserve">функция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u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u</m:t>
                    </m:r>
                  </m:e>
                </m:d>
              </m:e>
              <m:sup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u</m:t>
            </m:r>
          </m:den>
        </m:f>
      </m:oMath>
      <w:r>
        <w:t xml:space="preserve"> </w:t>
      </w:r>
      <w:r>
        <w:t xml:space="preserve">голоморфна вне разреза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; единственный полюс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внутри контура имеет вычет</w:t>
      </w:r>
      <w:r>
        <w:t xml:space="preserve"> </w:t>
      </w:r>
      <m:oMath>
        <m:r>
          <m:t>1</m:t>
        </m:r>
      </m:oMath>
      <w:r>
        <w:t xml:space="preserve">; стороны разреза дают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π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</m:e>
                </m:d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π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</m:e>
                </m:d>
              </m:sup>
            </m:sSup>
          </m:e>
        </m:d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nary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π</m:t>
        </m:r>
        <m:r>
          <m:t>i</m:t>
        </m:r>
      </m:oMath>
      <w:r>
        <w:t xml:space="preserve">. Замена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u</m:t>
            </m:r>
          </m:den>
        </m:f>
      </m:oMath>
      <w:r>
        <w:t xml:space="preserve"> </w:t>
      </w:r>
      <w:r>
        <w:t xml:space="preserve">переводит</w:t>
      </w:r>
      <w:r>
        <w:t xml:space="preserve"> </w:t>
      </w:r>
      <w:r>
        <w:t xml:space="preserve">интеграл в</w:t>
      </w:r>
      <w:r>
        <w:t xml:space="preserve"> </w:t>
      </w:r>
      <m:oMath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</m:oMath>
      <w:r>
        <w:t xml:space="preserve">; сопоставление даёт</w:t>
      </w:r>
      <w:r>
        <w:t xml:space="preserve"> </w:t>
      </w:r>
      <w:r>
        <w:t xml:space="preserve">формулу; аналитическое продолжение распространяет её на все</w:t>
      </w:r>
      <w:r>
        <w:t xml:space="preserve"> </w:t>
      </w:r>
      <m:oMath>
        <m:r>
          <m:t>z</m:t>
        </m:r>
        <m:r>
          <m:rPr>
            <m:sty m:val="p"/>
          </m:rPr>
          <m:t>∉</m:t>
        </m:r>
        <m:r>
          <m:rPr>
            <m:sty m:val="p"/>
            <m:scr m:val="double-struck"/>
          </m:rPr>
          <m:t>Z</m:t>
        </m:r>
      </m:oMath>
      <w:r>
        <w:t xml:space="preserve">. ◻</w:t>
      </w:r>
    </w:p>
    <w:bookmarkStart w:id="21" w:name="lem:gauss"/>
    <w:p>
      <w:pPr>
        <w:pStyle w:val="BodyText"/>
      </w:pPr>
      <w:r>
        <w:rPr>
          <w:b/>
          <w:bCs/>
        </w:rPr>
        <w:t xml:space="preserve">Лемма 2</w:t>
      </w:r>
      <w:r>
        <w:t xml:space="preserve"> </w:t>
      </w:r>
      <w:r>
        <w:t xml:space="preserve">(формула умножения Гаусса).</w:t>
      </w:r>
      <w:r>
        <w:t xml:space="preserve"> </w:t>
      </w:r>
      <w:r>
        <w:t xml:space="preserve"> </w:t>
      </w:r>
      <w:r>
        <w:rPr>
          <w:i/>
          <w:iCs/>
        </w:rPr>
        <w:t xml:space="preserve">Для целых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≥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m:oMath>
        <m:r>
          <m:t>m</m:t>
        </m:r>
        <m:r>
          <m:t>z</m:t>
        </m:r>
        <m:r>
          <m:rPr>
            <m:sty m:val="p"/>
          </m:rPr>
          <m:t>∉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rPr>
                <m:sty m:val="p"/>
              </m:rPr>
              <m:t>≤</m:t>
            </m:r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$$\Gamma(z)\,\Gamma\!\Bigl(z+\frac1m\Bigr)\cdots
  \Gamma\!\Bigl(z+\frac{m-1}{m}\Bigr)
  \;=\;(2\pi)^{\frac{m-1}{2}}\;m^{\frac12-mz}\;\Gamma(mz).$$</w:t>
      </w:r>
    </w:p>
    <w:bookmarkEnd w:id="2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Отношение левой и правой частей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m:oMath>
        <m:r>
          <m:t>1</m:t>
        </m:r>
      </m:oMath>
      <w:r>
        <w:t xml:space="preserve">-периодическая</w:t>
      </w:r>
      <w:r>
        <w:t xml:space="preserve"> </w:t>
      </w:r>
      <w:r>
        <w:t xml:space="preserve">голоморфная функция: рекуррентность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w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даёт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G</m:t>
                </m:r>
              </m:e>
              <m:sub>
                <m:r>
                  <m:t>m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sSub>
              <m:e>
                <m:r>
                  <m:t>G</m:t>
                </m:r>
              </m:e>
              <m:sub>
                <m:r>
                  <m:t>m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</m:e>
            </m:d>
          </m:den>
        </m:f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k</m:t>
                    </m:r>
                  </m:num>
                  <m:den>
                    <m:r>
                      <m:t>m</m:t>
                    </m:r>
                  </m:den>
                </m:f>
              </m:e>
            </m:d>
          </m:e>
        </m:nary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  <m:f>
          <m:fPr>
            <m:type m:val="bar"/>
          </m:fPr>
          <m:num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</m:e>
            </m:d>
          </m:num>
          <m:den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t>z</m:t>
                </m:r>
              </m:e>
            </m:d>
          </m:den>
        </m:f>
      </m:oMath>
      <w:r>
        <w:t xml:space="preserve">, и тот же множитель у</w:t>
      </w:r>
      <w: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Формула Стирлинга даёт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в</w:t>
      </w:r>
      <w:r>
        <w:t xml:space="preserve"> </w:t>
      </w:r>
      <w:r>
        <w:t xml:space="preserve">вертикальных полосах конечной ширины; периодичность переносит</w:t>
      </w:r>
      <w:r>
        <w:t xml:space="preserve"> </w:t>
      </w:r>
      <w:r>
        <w:t xml:space="preserve">предел на всю полосу, откуда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. ◻</w:t>
      </w:r>
    </w:p>
    <w:bookmarkStart w:id="22" w:name="lem:relations"/>
    <w:p>
      <w:pPr>
        <w:pStyle w:val="BodyText"/>
      </w:pPr>
      <w:r>
        <w:rPr>
          <w:b/>
          <w:bCs/>
        </w:rPr>
        <w:t xml:space="preserve">Лемма 3</w:t>
      </w:r>
      <w:r>
        <w:t xml:space="preserve"> </w:t>
      </w:r>
      <w:r>
        <w:t xml:space="preserve">(инвентарь соотношений).</w:t>
      </w:r>
      <w:r>
        <w:t xml:space="preserve"> </w:t>
      </w:r>
      <w:r>
        <w:t xml:space="preserve"> </w:t>
      </w:r>
      <w:r>
        <w:rPr>
          <w:i/>
          <w:iCs/>
        </w:rPr>
        <w:t xml:space="preserve">Все используемые соотношения между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следствия двух тождеств: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если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чистая</w:t>
      </w:r>
      <w:r>
        <w:rPr>
          <w:i/>
          <w:iCs/>
        </w:rPr>
        <w:t xml:space="preserve"> </w:t>
      </w:r>
      <w:r>
        <w:rPr>
          <w:i/>
          <w:iCs/>
        </w:rPr>
        <w:t xml:space="preserve">дробная доля</w:t>
      </w:r>
      <w:r>
        <w:rPr>
          <w:i/>
          <w:iCs/>
        </w:rPr>
        <w:t xml:space="preserve"> </w:t>
      </w:r>
      <m:oMath>
        <m:r>
          <m:t>π</m:t>
        </m:r>
      </m:oMath>
      <w:r>
        <w:rPr>
          <w:i/>
          <w:iCs/>
        </w:rPr>
        <w:t xml:space="preserve">;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если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N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</m:den>
        </m:f>
        <m:f>
          <m:fPr>
            <m:type m:val="bar"/>
          </m:fPr>
          <m:num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num>
          <m:den>
            <m:r>
              <m:t>Γ</m:t>
            </m:r>
            <m:d>
              <m:dPr>
                <m:begChr m:val="("/>
                <m:endChr m:val=")"/>
                <m:sepChr m:val=""/>
                <m:grow/>
              </m:dPr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den>
        </m:f>
      </m:oMath>
      <w:r>
        <w:rPr>
          <w:i/>
          <w:iCs/>
        </w:rPr>
        <w:t xml:space="preserve"> </w:t>
      </w:r>
      <w:r>
        <w:rPr>
          <w:i/>
          <w:iCs/>
        </w:rPr>
        <w:t xml:space="preserve">— редукция;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если</w:t>
      </w:r>
      <w:r>
        <w:rPr>
          <w:i/>
          <w:iCs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&lt;</m:t>
        </m:r>
        <m:r>
          <m:t>N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канонично.</w:t>
      </w:r>
    </w:p>
    <w:bookmarkEnd w:id="2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Пункт 1 — отражение при</w:t>
      </w:r>
      <w:r>
        <w:t xml:space="preserve"> </w:t>
      </w:r>
      <m:oMath>
        <m:r>
          <m:t>b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/</m:t>
        </m:r>
        <m:r>
          <m:t>N</m:t>
        </m:r>
      </m:oMath>
      <w:r>
        <w:t xml:space="preserve">; пункт 2 —</w:t>
      </w:r>
      <w:r>
        <w:t xml:space="preserve"> </w:t>
      </w:r>
      <w:r>
        <w:t xml:space="preserve">рекуррентность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N</m:t>
            </m:r>
          </m:num>
          <m:den>
            <m:r>
              <m:t>N</m:t>
            </m:r>
          </m:den>
        </m:f>
        <m:r>
          <m:t>Γ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num>
              <m:den>
                <m:r>
                  <m:t>N</m:t>
                </m:r>
              </m:den>
            </m:f>
          </m:e>
        </m:d>
      </m:oMath>
      <w:r>
        <w:t xml:space="preserve">; пункт 3 — по определению. ◻</w:t>
      </w:r>
    </w:p>
    <w:p>
      <w:pPr>
        <w:pStyle w:val="BlockText"/>
      </w:pPr>
      <w:r>
        <w:rPr>
          <w:b/>
          <w:bCs/>
        </w:rPr>
        <w:t xml:space="preserve">Данные протокола (числа).</w:t>
      </w:r>
      <w:r>
        <w:t xml:space="preserve"> </w:t>
      </w:r>
      <w:r>
        <w:t xml:space="preserve">Лестница отражения (V6):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 </w:t>
      </w:r>
      <w:r>
        <w:t xml:space="preserve">для</w:t>
      </w:r>
      <w:r>
        <w:t xml:space="preserve"> </w:t>
      </w:r>
      <w:r>
        <w:t xml:space="preserve">всех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,</m:t>
        </m:r>
        <m:r>
          <m:t>30</m:t>
        </m:r>
      </m:oMath>
      <w:r>
        <w:t xml:space="preserve">; максимум относительного отклонения</w:t>
      </w:r>
      <w:r>
        <w:t xml:space="preserve"> </w:t>
      </w:r>
      <m:oMath>
        <m:r>
          <m:t>7.0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35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Оба тождества выведены из интегральных представлений и основной</w:t>
      </w:r>
      <w:r>
        <w:t xml:space="preserve"> </w:t>
      </w:r>
      <w:r>
        <w:t xml:space="preserve">теоремы о вычетах — внешние результаты не привлекаются. Инвентарь</w:t>
      </w:r>
      <w:r>
        <w:t xml:space="preserve"> </w:t>
      </w:r>
      <w:r>
        <w:t xml:space="preserve">фиксирует: полная классификация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-соотношений между</w:t>
      </w:r>
      <w:r>
        <w:t xml:space="preserve"> </w:t>
      </w:r>
      <m:oMath>
        <m:r>
          <m:t>Γ</m:t>
        </m:r>
      </m:oMath>
      <w:r>
        <w:t xml:space="preserve">-произведениями (Рорлих) не используется — достаточность</w:t>
      </w:r>
      <w:r>
        <w:t xml:space="preserve"> </w:t>
      </w:r>
      <w:r>
        <w:t xml:space="preserve">порождающего набора проверяется рангом (V7: ранг</w:t>
      </w:r>
      <w:r>
        <w:t xml:space="preserve"> </w:t>
      </w:r>
      <m:oMath>
        <m:r>
          <m:rPr>
            <m:sty m:val="p"/>
          </m:rPr>
          <m:t>=</m:t>
        </m:r>
        <m:r>
          <m:t>g</m:t>
        </m:r>
      </m:oMath>
      <w:r>
        <w:t xml:space="preserve">).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«Стенд N=15/30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V6» —</w:t>
      </w:r>
      <w:r>
        <w:t xml:space="preserve"> </w:t>
      </w:r>
      <w:r>
        <w:t xml:space="preserve">лестница отражения для всех</w:t>
      </w:r>
      <w:r>
        <w:t xml:space="preserve"> </w:t>
      </w:r>
      <m:oMath>
        <m:r>
          <m:t>k</m:t>
        </m:r>
      </m:oMath>
      <w:r>
        <w:t xml:space="preserve">; диаграмма</w:t>
      </w:r>
      <w:r>
        <w:t xml:space="preserve"> </w:t>
      </w:r>
      <w:r>
        <w:rPr>
          <w:rStyle w:val="VerbatimChar"/>
        </w:rPr>
        <w:t xml:space="preserve">fig_gamma.png</w:t>
      </w:r>
      <w:r>
        <w:t xml:space="preserve"> </w:t>
      </w:r>
      <w:r>
        <w:t xml:space="preserve">(</w:t>
      </w:r>
      <m:oMath>
        <m:r>
          <m:t>600</m:t>
        </m:r>
      </m:oMath>
      <w:r>
        <w:t xml:space="preserve"> dpi) — численный портрет тождества.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3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Γ-тождества</dc:title>
  <dc:creator>Исаев Исхак Хамзатович</dc:creator>
  <dc:language>ru-RU</dc:language>
  <cp:keywords>hodge-laboratory, theorem monograph, RU</cp:keywords>
  <dcterms:created xsi:type="dcterms:W3CDTF">2026-09-23T16:56:51Z</dcterms:created>
  <dcterms:modified xsi:type="dcterms:W3CDTF">2026-09-23T16:56:51Z</dcterms:modified>
  <dc:subject>Standalone theorem monograph 3/16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