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jc w:val="center"/>
      </w:pPr>
      <w:r>
        <w:rPr>
          <w:b/>
          <w:i w:val="0"/>
          <w:color w:val="1F4E79"/>
          <w:sz w:val="40"/>
        </w:rPr>
        <w:t>Theorem 1: The Riemann Relations as an Identity</w:t>
      </w:r>
    </w:p>
    <w:p>
      <w:pPr>
        <w:jc w:val="center"/>
      </w:pPr>
      <w:r>
        <w:rPr>
          <w:b w:val="0"/>
          <w:i w:val="0"/>
          <w:color w:val="404040"/>
          <w:sz w:val="26"/>
        </w:rPr>
        <w:t>symmetry and positivity of the period matrix</w:t>
      </w:r>
    </w:p>
    <w:p>
      <w:pPr>
        <w:jc w:val="center"/>
      </w:pPr>
      <w:r>
        <w:rPr>
          <w:b/>
          <w:i w:val="0"/>
          <w:color w:val="202020"/>
          <w:sz w:val="23"/>
        </w:rPr>
        <w:t>Isaev Iskhak Khamzatovich</w:t>
      </w:r>
    </w:p>
    <w:p>
      <w:pPr>
        <w:jc w:val="center"/>
      </w:pPr>
      <w:r>
        <w:rPr>
          <w:b w:val="0"/>
          <w:i w:val="0"/>
          <w:color w:val="666666"/>
          <w:sz w:val="19"/>
        </w:rPr>
        <w:t>The «Dynamic Principle» Program — the hodge-laboratory</w:t>
      </w:r>
    </w:p>
    <w:p>
      <w:pPr>
        <w:jc w:val="center"/>
      </w:pPr>
      <w:r>
        <w:rPr>
          <w:b w:val="0"/>
          <w:i w:val="0"/>
          <w:color w:val="666666"/>
          <w:sz w:val="19"/>
        </w:rPr>
        <w:t>Standalone theorem monograph · Монография 4/16</w:t>
      </w:r>
    </w:p>
    <w:bookmarkStart w:id="21" w:name="setting"/>
    <w:p>
      <w:pPr>
        <w:pStyle w:val="Heading1"/>
      </w:pPr>
      <w:r>
        <w:t xml:space="preserve">Setting</w:t>
      </w:r>
    </w:p>
    <w:p>
      <w:pPr>
        <w:pStyle w:val="FirstParagraph"/>
      </w:pPr>
      <w:r>
        <w:t xml:space="preserve">The Riemann relations — symmetry and positive definiteness of the</w:t>
      </w:r>
      <w:r>
        <w:t xml:space="preserve"> </w:t>
      </w:r>
      <w:r>
        <w:t xml:space="preserve">imaginary part of the period matrix — are proved on a curve</w:t>
      </w:r>
      <w:r>
        <w:t xml:space="preserve"> </w:t>
      </w:r>
      <w:r>
        <w:rPr>
          <w:i/>
          <w:iCs/>
        </w:rPr>
        <w:t xml:space="preserve">identically</w:t>
      </w:r>
      <w:r>
        <w:t xml:space="preserve">, with no numerical check: a numerical control of</w:t>
      </w:r>
      <w:r>
        <w:t xml:space="preserve"> </w:t>
      </w:r>
      <w:r>
        <w:t xml:space="preserve">an identity would be weaker than the proof. For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15</m:t>
        </m:r>
        <m:r>
          <m:rPr>
            <m:sty m:val="p"/>
          </m:rPr>
          <m:t>/</m:t>
        </m:r>
        <m:r>
          <m:t>30</m:t>
        </m:r>
      </m:oMath>
      <w:r>
        <w:t xml:space="preserve"> </w:t>
      </w:r>
      <w:r>
        <w:t xml:space="preserve">stand</w:t>
      </w:r>
      <w:r>
        <w:t xml:space="preserve"> </w:t>
      </w:r>
      <w:r>
        <w:t xml:space="preserve">this means: on the</w:t>
      </w:r>
      <w:r>
        <w:t xml:space="preserve"> </w:t>
      </w:r>
      <m:oMath>
        <m:r>
          <m:t>91</m:t>
        </m:r>
        <m:r>
          <m:rPr>
            <m:sty m:val="p"/>
          </m:rPr>
          <m:t>×</m:t>
        </m:r>
        <m:r>
          <m:t>182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406</m:t>
        </m:r>
        <m:r>
          <m:rPr>
            <m:sty m:val="p"/>
          </m:rPr>
          <m:t>×</m:t>
        </m:r>
        <m:r>
          <m:t>812</m:t>
        </m:r>
      </m:oMath>
      <w:r>
        <w:t xml:space="preserve"> </w:t>
      </w:r>
      <w:r>
        <w:t xml:space="preserve">matrices there</w:t>
      </w:r>
      <w:r>
        <w:t xml:space="preserve"> </w:t>
      </w:r>
      <w:r>
        <w:t xml:space="preserve">is nothing to check numerically — it is proved.</w:t>
      </w:r>
    </w:p>
    <w:p>
      <w:pPr>
        <w:pStyle w:val="BodyText"/>
      </w:pPr>
      <w:r>
        <w:rPr>
          <w:b/>
          <w:bCs/>
        </w:rPr>
        <w:t xml:space="preserve">Definition 1</w:t>
      </w:r>
      <w:r>
        <w:t xml:space="preserve"> </w:t>
      </w:r>
      <w:r>
        <w:t xml:space="preserve">(normalized period matrix).</w:t>
      </w:r>
      <w:r>
        <w:t xml:space="preserve"> </w:t>
      </w:r>
      <w:r>
        <w:t xml:space="preserve"> </w:t>
      </w:r>
      <w:r>
        <w:t xml:space="preserve">In the symplectic basis</w:t>
      </w:r>
      <w:r>
        <w:t xml:space="preserve"> </w:t>
      </w:r>
      <m:oMath>
        <m:r>
          <m:rPr>
            <m:sty m:val="p"/>
            <m:scr m:val="fraktur"/>
          </m:rPr>
          <m:t>B</m:t>
        </m:r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g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g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t xml:space="preserve">normalize the forms by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t>ω</m:t>
                </m:r>
              </m:e>
              <m:sub>
                <m:r>
                  <m:t>j</m:t>
                </m:r>
              </m:sub>
            </m:sSub>
          </m:e>
        </m:nary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 set</w:t>
      </w:r>
      <w:r>
        <w:t xml:space="preserve"> </w:t>
      </w:r>
      <m:oMath>
        <m:sSub>
          <m:e>
            <m:r>
              <m:t>Ω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t>ω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.</w:t>
      </w:r>
    </w:p>
    <w:bookmarkStart w:id="20" w:name="th:riemann"/>
    <w:p>
      <w:pPr>
        <w:pStyle w:val="BodyText"/>
      </w:pPr>
      <w:r>
        <w:rPr>
          <w:b/>
          <w:bCs/>
        </w:rPr>
        <w:t xml:space="preserve">Theorem 2</w:t>
      </w:r>
      <w:r>
        <w:t xml:space="preserve"> </w:t>
      </w:r>
      <w:r>
        <w:t xml:space="preserve">(Riemann relations).</w:t>
      </w:r>
      <w:r>
        <w:t xml:space="preserve"> </w:t>
      </w:r>
      <w:r>
        <w:t xml:space="preserve"> </w:t>
      </w:r>
      <w:r>
        <w:rPr>
          <w:i/>
          <w:iCs/>
        </w:rPr>
        <w:t xml:space="preserve">(1)</w:t>
      </w:r>
      <w:r>
        <w:rPr>
          <w:i/>
          <w:iCs/>
        </w:rPr>
        <w:t xml:space="preserve"> </w:t>
      </w:r>
      <m:oMath>
        <m:sSup>
          <m:e>
            <m:r>
              <m:t>Ω</m:t>
            </m:r>
          </m:e>
          <m:sup>
            <m:r>
              <m:rPr>
                <m:sty m:val="p"/>
                <m:scr m:val="sans-serif"/>
              </m:rPr>
              <m:t>T</m:t>
            </m:r>
          </m:sup>
        </m:sSup>
        <m:r>
          <m:rPr>
            <m:sty m:val="p"/>
          </m:rPr>
          <m:t>=</m:t>
        </m:r>
        <m:r>
          <m:t>Ω</m:t>
        </m:r>
      </m:oMath>
      <w:r>
        <w:rPr>
          <w:i/>
          <w:iCs/>
        </w:rPr>
        <w:t xml:space="preserve">; (2)</w:t>
      </w:r>
      <w:r>
        <w:rPr>
          <w:i/>
          <w:iCs/>
        </w:rPr>
        <w:t xml:space="preserve"> </w:t>
      </w:r>
      <m:oMath>
        <m:r>
          <m:rPr>
            <m:sty m:val="p"/>
          </m:rPr>
          <m:t>Im</m:t>
        </m:r>
        <m:r>
          <m:t>Ω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positive</w:t>
      </w:r>
      <w:r>
        <w:rPr>
          <w:i/>
          <w:iCs/>
        </w:rPr>
        <w:t xml:space="preserve"> </w:t>
      </w:r>
      <w:r>
        <w:rPr>
          <w:i/>
          <w:iCs/>
        </w:rPr>
        <w:t xml:space="preserve">definite: for every</w:t>
      </w:r>
      <w:r>
        <w:rPr>
          <w:i/>
          <w:iCs/>
        </w:rPr>
        <w:t xml:space="preserve"> </w:t>
      </w:r>
      <m:oMath>
        <m:r>
          <m:t>0</m:t>
        </m:r>
        <m:r>
          <m:rPr>
            <m:sty m:val="p"/>
          </m:rPr>
          <m:t>≠</m:t>
        </m:r>
        <m:r>
          <m:t>λ</m:t>
        </m:r>
        <m:r>
          <m:rPr>
            <m:sty m:val="p"/>
          </m:rPr>
          <m:t>∈</m:t>
        </m:r>
        <m:sSup>
          <m:e>
            <m:r>
              <m:rPr>
                <m:sty m:val="p"/>
                <m:scr m:val="double-struck"/>
              </m:rPr>
              <m:t>R</m:t>
            </m:r>
          </m:e>
          <m:sup>
            <m:r>
              <m:t>g</m:t>
            </m:r>
          </m:sup>
        </m:sSup>
      </m:oMath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m:oMath>
        <m:sSup>
          <m:e>
            <m:r>
              <m:t>λ</m:t>
            </m:r>
          </m:e>
          <m:sup>
            <m:r>
              <m:rPr>
                <m:sty m:val="p"/>
                <m:scr m:val="sans-serif"/>
              </m:rPr>
              <m:t>T</m:t>
            </m:r>
          </m:sup>
        </m:sSup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Im</m:t>
            </m:r>
            <m:r>
              <m:t>Ω</m:t>
            </m:r>
          </m:e>
        </m:d>
        <m:r>
          <m:t>λ</m:t>
        </m:r>
        <m:r>
          <m:rPr>
            <m:sty m:val="p"/>
          </m:rPr>
          <m:t>&gt;</m:t>
        </m:r>
        <m:r>
          <m:t>0</m:t>
        </m:r>
      </m:oMath>
      <w:r>
        <w:rPr>
          <w:i/>
          <w:iCs/>
        </w:rPr>
        <w:t xml:space="preserve">.</w:t>
      </w:r>
    </w:p>
    <w:bookmarkEnd w:id="20"/>
    <w:p>
      <w:pPr>
        <w:pStyle w:val="BodyText"/>
      </w:pPr>
      <w:r>
        <w:rPr>
          <w:i/>
          <w:iCs/>
        </w:rPr>
        <w:t xml:space="preserve">Proof.</w:t>
      </w:r>
      <w:r>
        <w:t xml:space="preserve"> </w:t>
      </w:r>
      <w:r>
        <w:t xml:space="preserve">The tool is Riemann’s bilinear identity: for the fundamental</w:t>
      </w:r>
      <w:r>
        <w:t xml:space="preserve"> </w:t>
      </w:r>
      <m:oMath>
        <m:r>
          <m:t>4</m:t>
        </m:r>
        <m:r>
          <m:t>g</m:t>
        </m:r>
      </m:oMath>
      <w:r>
        <w:t xml:space="preserve">-gon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closed forms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</m:oMath>
      <w:r>
        <w:t xml:space="preserve">,</w:t>
      </w:r>
    </w:p>
    <w:p>
      <w:pPr>
        <w:pStyle w:val="BodyText"/>
      </w:pPr>
      <w:r>
        <w:t xml:space="preserve">$$\iint_F \alpha\wedge\beta
  =\sum_{i=1}^{g}\Bigl(
    \int_{a_i}\alpha\int_{b_i}\beta
    -\int_{b_i}\alpha\int_{a_i}\beta\Bigr).$$</w:t>
      </w:r>
    </w:p>
    <w:p>
      <w:pPr>
        <w:pStyle w:val="FirstParagraph"/>
      </w:pPr>
      <w:r>
        <w:rPr>
          <w:i/>
          <w:iCs/>
        </w:rPr>
        <w:t xml:space="preserve">Symmetry: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sSub>
          <m:e>
            <m:r>
              <m:t>ω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sSub>
          <m:e>
            <m:r>
              <m:t>ω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t xml:space="preserve">holomorphic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t xml:space="preserve">-object</w:t>
      </w:r>
      <w:r>
        <w:t xml:space="preserve"> </w:t>
      </w:r>
      <m:oMath>
        <m:sSub>
          <m:e>
            <m:r>
              <m:t>ω</m:t>
            </m:r>
          </m:e>
          <m:sub>
            <m:r>
              <m:t>j</m:t>
            </m:r>
          </m:sub>
        </m:sSub>
        <m:r>
          <m:rPr>
            <m:sty m:val="p"/>
          </m:rPr>
          <m:t>∧</m:t>
        </m:r>
        <m:sSub>
          <m:e>
            <m:r>
              <m:t>ω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vanishes</w:t>
      </w:r>
      <w:r>
        <w:t xml:space="preserve"> </w:t>
      </w:r>
      <w:r>
        <w:t xml:space="preserve">(</w:t>
      </w:r>
      <m:oMath>
        <m:sSubSup>
          <m:e>
            <m:r>
              <m:t>Ω</m:t>
            </m:r>
          </m:e>
          <m:sub>
            <m:sSub>
              <m:e>
                <m:r>
                  <m:t>C</m:t>
                </m:r>
              </m:e>
              <m:sub>
                <m:r>
                  <m:t>N</m:t>
                </m:r>
              </m:sub>
            </m:sSub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), giving</w:t>
      </w:r>
      <w:r>
        <w:t xml:space="preserve"> </w:t>
      </w:r>
      <m:oMath>
        <m:sSub>
          <m:e>
            <m:r>
              <m:t>Ω</m:t>
            </m:r>
          </m:e>
          <m:sub>
            <m:r>
              <m:t>j</m:t>
            </m:r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Ω</m:t>
            </m:r>
          </m:e>
          <m:sub>
            <m:r>
              <m:t>k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rPr>
          <w:i/>
          <w:iCs/>
        </w:rPr>
        <w:t xml:space="preserve">Positivity: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ω</m:t>
        </m:r>
      </m:oMath>
      <w:r>
        <w:t xml:space="preserve">,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bar>
          <m:barPr>
            <m:pos m:val="top"/>
          </m:barPr>
          <m:e>
            <m:r>
              <m:t>ω</m:t>
            </m:r>
          </m:e>
        </m:bar>
      </m:oMath>
      <w:r>
        <w:t xml:space="preserve"> </w:t>
      </w:r>
      <w:r>
        <w:t xml:space="preserve">we</w:t>
      </w:r>
      <w:r>
        <w:t xml:space="preserve"> </w:t>
      </w:r>
      <w:r>
        <w:t xml:space="preserve">have</w:t>
      </w:r>
      <w:r>
        <w:t xml:space="preserve"> </w:t>
      </w:r>
      <m:oMath>
        <m:r>
          <m:t>ω</m:t>
        </m:r>
        <m:r>
          <m:rPr>
            <m:sty m:val="p"/>
          </m:rPr>
          <m:t>∧</m:t>
        </m:r>
        <m:bar>
          <m:barPr>
            <m:pos m:val="top"/>
          </m:barPr>
          <m:e>
            <m:r>
              <m:t>ω</m:t>
            </m:r>
          </m:e>
        </m:ba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i</m:t>
        </m:r>
        <m:sSup>
          <m:e>
            <m:d>
              <m:dPr>
                <m:begChr m:val="|"/>
                <m:endChr m:val="|"/>
                <m:sepChr m:val=""/>
                <m:grow/>
              </m:dPr>
              <m:e>
                <m:r>
                  <m:t>g</m:t>
                </m:r>
              </m:e>
            </m:d>
          </m:e>
          <m:sup>
            <m:r>
              <m:t>2</m:t>
            </m:r>
          </m:sup>
        </m:sSup>
        <m:r>
          <m:t>d</m:t>
        </m:r>
        <m:r>
          <m:t>x</m:t>
        </m:r>
        <m:r>
          <m:rPr>
            <m:sty m:val="p"/>
          </m:rPr>
          <m:t>∧</m:t>
        </m:r>
        <m:r>
          <m:t>d</m:t>
        </m:r>
        <m:r>
          <m:t>y</m:t>
        </m:r>
      </m:oMath>
      <w:r>
        <w:t xml:space="preserve">; the left</w:t>
      </w:r>
      <w:r>
        <w:t xml:space="preserve"> </w:t>
      </w:r>
      <w:r>
        <w:t xml:space="preserve">side is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i</m:t>
        </m:r>
        <m:r>
          <m:rPr>
            <m:sty m:val="p"/>
          </m:rPr>
          <m:t>∫</m:t>
        </m:r>
        <m:sSup>
          <m:e>
            <m:d>
              <m:dPr>
                <m:begChr m:val="|"/>
                <m:endChr m:val="|"/>
                <m:sepChr m:val=""/>
                <m:grow/>
              </m:dPr>
              <m:e>
                <m:r>
                  <m:t>g</m:t>
                </m:r>
              </m:e>
            </m:d>
          </m:e>
          <m:sup>
            <m:r>
              <m:t>2</m:t>
            </m:r>
          </m:sup>
        </m:sSup>
        <m:r>
          <m:t>d</m:t>
        </m:r>
        <m:r>
          <m:t>x</m:t>
        </m:r>
        <m:r>
          <m:t>d</m:t>
        </m:r>
        <m:r>
          <m:t>y</m:t>
        </m:r>
      </m:oMath>
      <w:r>
        <w:t xml:space="preserve">; the right is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i</m:t>
        </m:r>
        <m:sSup>
          <m:e>
            <m:r>
              <m:t>λ</m:t>
            </m:r>
          </m:e>
          <m:sup>
            <m:r>
              <m:t>T</m:t>
            </m:r>
          </m:sup>
        </m:sSup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Im</m:t>
            </m:r>
            <m:r>
              <m:t>Ω</m:t>
            </m:r>
          </m:e>
        </m:d>
        <m:sSup>
          <m:e>
            <m:bar>
              <m:barPr>
                <m:pos m:val="top"/>
              </m:barPr>
              <m:e>
                <m:r>
                  <m:t>λ</m:t>
                </m:r>
              </m:e>
            </m:bar>
          </m:e>
          <m:sup>
            <m:r>
              <m:t>T</m:t>
            </m:r>
          </m:sup>
        </m:sSup>
      </m:oMath>
      <w:r>
        <w:t xml:space="preserve"> </w:t>
      </w:r>
      <w:r>
        <w:t xml:space="preserve">(symmetry of part 1</w:t>
      </w:r>
      <w:r>
        <w:t xml:space="preserve"> </w:t>
      </w:r>
      <w:r>
        <w:t xml:space="preserve">used). Canceling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i</m:t>
        </m:r>
      </m:oMath>
      <w:r>
        <w:t xml:space="preserve">: the quadratic form equals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t>C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p>
              <m:e>
                <m:d>
                  <m:dPr>
                    <m:begChr m:val="|"/>
                    <m:endChr m:val="|"/>
                    <m:sepChr m:val=""/>
                    <m:grow/>
                  </m:dPr>
                  <m:e>
                    <m:r>
                      <m:t>g</m:t>
                    </m:r>
                  </m:e>
                </m:d>
              </m:e>
              <m:sup>
                <m:r>
                  <m:t>2</m:t>
                </m:r>
              </m:sup>
            </m:sSup>
          </m:e>
        </m:nary>
        <m:r>
          <m:t>d</m:t>
        </m:r>
        <m:r>
          <m:t>x</m:t>
        </m:r>
        <m:r>
          <m:t>d</m:t>
        </m:r>
        <m:r>
          <m:t>y</m:t>
        </m:r>
        <m:r>
          <m:rPr>
            <m:sty m:val="p"/>
          </m:rPr>
          <m:t>&gt;</m:t>
        </m:r>
        <m:r>
          <m:t>0</m:t>
        </m:r>
      </m:oMath>
      <w:r>
        <w:t xml:space="preserve">. ◻</w:t>
      </w:r>
    </w:p>
    <w:p>
      <w:pPr>
        <w:pStyle w:val="BodyText"/>
      </w:pPr>
      <w:r>
        <w:rPr>
          <w:i/>
          <w:iCs/>
        </w:rPr>
        <w:t xml:space="preserve">Remark 3</w:t>
      </w:r>
      <w:r>
        <w:t xml:space="preserve"> </w:t>
      </w:r>
      <w:r>
        <w:t xml:space="preserve">(why no self-adjoint operator).</w:t>
      </w:r>
      <w:r>
        <w:t xml:space="preserve"> </w:t>
      </w:r>
      <w:r>
        <w:t xml:space="preserve"> </w:t>
      </w:r>
      <w:r>
        <w:t xml:space="preserve">“</w:t>
      </w:r>
      <w:r>
        <w:t xml:space="preserve">Symplectic</w:t>
      </w:r>
      <w:r>
        <w:t xml:space="preserve">”</w:t>
      </w:r>
      <w:r>
        <w:t xml:space="preserve"> </w:t>
      </w:r>
      <w:r>
        <w:t xml:space="preserve">refers exclusively to the skew intersection form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on the integer lattice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d>
          <m:dPr>
            <m:begChr m:val="("/>
            <m:endChr m:val=")"/>
            <m:sepChr m:val=""/>
            <m:grow/>
          </m:dPr>
          <m:e>
            <m:sSub>
              <m:e>
                <m:r>
                  <m:t>C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  <m:scr m:val="double-struck"/>
              </m:rPr>
              <m:t>Z</m:t>
            </m:r>
          </m:e>
        </m:d>
      </m:oMath>
      <w:r>
        <w:t xml:space="preserve"> </w:t>
      </w:r>
      <w:r>
        <w:t xml:space="preserve">— a topological object. The</w:t>
      </w:r>
      <w:r>
        <w:t xml:space="preserve"> </w:t>
      </w:r>
      <w:r>
        <w:t xml:space="preserve">theorem involves exactly two constructed objects: the cycle lattice</w:t>
      </w:r>
      <w:r>
        <w:t xml:space="preserve"> </w:t>
      </w:r>
      <w:r>
        <w:t xml:space="preserve">and the integrals of forms. The Riemann relations are an identity</w:t>
      </w:r>
      <w:r>
        <w:t xml:space="preserve"> </w:t>
      </w:r>
      <w:r>
        <w:t xml:space="preserve">that our own period matrix must satisfy; the numbers remain a</w:t>
      </w:r>
      <w:r>
        <w:t xml:space="preserve"> </w:t>
      </w:r>
      <w:r>
        <w:t xml:space="preserve">one-off sanity line outside the text.</w:t>
      </w:r>
    </w:p>
    <w:p>
      <w:pPr>
        <w:pStyle w:val="BlockText"/>
      </w:pPr>
      <w:r>
        <w:rPr>
          <w:b/>
          <w:bCs/>
        </w:rPr>
        <w:t xml:space="preserve">Summary of results (summary).</w:t>
      </w:r>
      <w:r>
        <w:t xml:space="preserve"> </w:t>
      </w:r>
      <w:r>
        <w:t xml:space="preserve">The theorem is proved by Riemann’s bilinear identity; the only</w:t>
      </w:r>
      <w:r>
        <w:t xml:space="preserve"> </w:t>
      </w:r>
      <w:r>
        <w:t xml:space="preserve">analytic premise is Stokes’ formula. Consequence: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a</w:t>
      </w:r>
      <w:r>
        <w:t xml:space="preserve"> </w:t>
      </w:r>
      <w:r>
        <w:t xml:space="preserve">polarization — the input of the Hodge lattice index module</w:t>
      </w:r>
      <w:r>
        <w:t xml:space="preserve"> </w:t>
      </w:r>
      <w:r>
        <w:t xml:space="preserve">(theorem 3).</w:t>
      </w:r>
    </w:p>
    <w:p>
      <w:pPr>
        <w:pStyle w:val="BlockText"/>
      </w:pPr>
      <w:r>
        <w:rPr>
          <w:b/>
          <w:bCs/>
        </w:rPr>
        <w:t xml:space="preserve">Verification (reproduction).</w:t>
      </w:r>
      <w:r>
        <w:t xml:space="preserve"> </w:t>
      </w:r>
      <w:r>
        <w:t xml:space="preserve">The identity nature means: verification is a machine proof of</w:t>
      </w:r>
      <w:r>
        <w:t xml:space="preserve"> </w:t>
      </w:r>
      <w:r>
        <w:t xml:space="preserve">structure, not a numerical run. Lean checks the integer corollaries</w:t>
      </w:r>
      <w:r>
        <w:t xml:space="preserve"> </w:t>
      </w:r>
      <w:r>
        <w:t xml:space="preserve">(ranks</w:t>
      </w:r>
      <w:r>
        <w:t xml:space="preserve"> </w:t>
      </w:r>
      <m:oMath>
        <m:r>
          <m:t>91</m:t>
        </m:r>
      </m:oMath>
      <w:r>
        <w:t xml:space="preserve">,</w:t>
      </w:r>
      <w:r>
        <w:t xml:space="preserve"> </w:t>
      </w:r>
      <m:oMath>
        <m:r>
          <m:t>406</m:t>
        </m:r>
      </m:oMath>
      <w:r>
        <w:t xml:space="preserve">); the laboratory runs the sanity line (V7: rank</w:t>
      </w:r>
      <w:r>
        <w:t xml:space="preserve"> </w:t>
      </w:r>
      <m:oMath>
        <m:r>
          <m:rPr>
            <m:sty m:val="p"/>
          </m:rPr>
          <m:t>=</m:t>
        </m:r>
        <m:r>
          <m:t>g</m:t>
        </m:r>
      </m:oMath>
      <w:r>
        <w:t xml:space="preserve">, condition numbers</w:t>
      </w:r>
      <w:r>
        <w:t xml:space="preserve"> </w:t>
      </w:r>
      <m:oMath>
        <m:r>
          <m:t>8.63</m:t>
        </m:r>
      </m:oMath>
      <w:r>
        <w:t xml:space="preserve">,</w:t>
      </w:r>
      <w:r>
        <w:t xml:space="preserve"> </w:t>
      </w:r>
      <m:oMath>
        <m:r>
          <m:t>18.17</m:t>
        </m:r>
      </m:oMath>
      <w:r>
        <w:t xml:space="preserve">).</w:t>
      </w:r>
    </w:p>
    <w:p>
      <w:pPr>
        <w:pStyle w:val="FirstParagraph"/>
      </w:pPr>
      <w:r>
        <w:rPr>
          <w:i/>
          <w:color w:val="707070"/>
          <w:sz w:val="18"/>
        </w:rPr>
        <w:t xml:space="preserve"> </w:t>
      </w:r>
      <w:r>
        <w:rPr>
          <w:i/>
          <w:color w:val="707070"/>
          <w:sz w:val="18"/>
        </w:rPr>
        <w:t xml:space="preserve">License: individual exclusive license of Isaev Iskhak Khamzatovich.</w:t>
      </w:r>
      <w:r>
        <w:rPr>
          <w:i/>
          <w:color w:val="707070"/>
          <w:sz w:val="18"/>
        </w:rPr>
        <w:t xml:space="preserve"> </w:t>
      </w:r>
      <w:r>
        <w:rPr>
          <w:i/>
          <w:color w:val="707070"/>
          <w:sz w:val="18"/>
        </w:rPr>
        <w:t xml:space="preserve">All rights to the computations, formulas, and texts belong to the author.</w:t>
      </w:r>
      <w:r>
        <w:rPr>
          <w:i/>
          <w:color w:val="707070"/>
          <w:sz w:val="18"/>
        </w:rPr>
        <w:t xml:space="preserve"> </w:t>
      </w:r>
      <w:r>
        <w:rPr>
          <w:i/>
          <w:color w:val="707070"/>
          <w:sz w:val="18"/>
        </w:rPr>
        <w:t xml:space="preserve">Verification:</w:t>
      </w:r>
      <w:r>
        <w:rPr>
          <w:i/>
          <w:color w:val="707070"/>
          <w:sz w:val="18"/>
        </w:rPr>
        <w:t xml:space="preserve"> </w:t>
      </w:r>
      <w:r>
        <w:rPr>
          <w:rStyle w:val="VerbatimChar"/>
          <w:i/>
          <w:color w:val="707070"/>
          <w:sz w:val="18"/>
        </w:rPr>
        <w:t xml:space="preserve">python3 laboratory.py</w:t>
      </w:r>
      <w:r>
        <w:rPr>
          <w:i/>
          <w:color w:val="707070"/>
          <w:sz w:val="18"/>
        </w:rPr>
        <w:t xml:space="preserve"> </w:t>
      </w:r>
      <w:r>
        <w:rPr>
          <w:i/>
          <w:color w:val="707070"/>
          <w:sz w:val="18"/>
        </w:rPr>
        <w:t xml:space="preserve">(</w:t>
      </w:r>
      <w:r>
        <w:rPr>
          <w:i/>
          <w:color w:val="707070"/>
          <w:sz w:val="18"/>
        </w:rPr>
        <w:t xml:space="preserve">“</w:t>
      </w:r>
      <w:r>
        <w:rPr>
          <w:i/>
          <w:color w:val="707070"/>
          <w:sz w:val="18"/>
        </w:rPr>
        <w:t xml:space="preserve">Stands</w:t>
      </w:r>
      <w:r>
        <w:rPr>
          <w:i/>
          <w:color w:val="707070"/>
          <w:sz w:val="18"/>
        </w:rPr>
        <w:t xml:space="preserve">”</w:t>
      </w:r>
      <w:r>
        <w:rPr>
          <w:i/>
          <w:color w:val="707070"/>
          <w:sz w:val="18"/>
        </w:rPr>
        <w:t xml:space="preserve">/</w:t>
      </w:r>
      <w:r>
        <w:rPr>
          <w:i/>
          <w:color w:val="707070"/>
          <w:sz w:val="18"/>
        </w:rPr>
        <w:t xml:space="preserve">“</w:t>
      </w:r>
      <w:r>
        <w:rPr>
          <w:i/>
          <w:color w:val="707070"/>
          <w:sz w:val="18"/>
        </w:rPr>
        <w:t xml:space="preserve">Certificates</w:t>
      </w:r>
      <w:r>
        <w:rPr>
          <w:i/>
          <w:color w:val="707070"/>
          <w:sz w:val="18"/>
        </w:rPr>
        <w:t xml:space="preserve">”</w:t>
      </w:r>
      <w:r>
        <w:rPr>
          <w:i/>
          <w:color w:val="707070"/>
          <w:sz w:val="18"/>
        </w:rPr>
        <w:t xml:space="preserve">),</w:t>
      </w:r>
      <w:r>
        <w:rPr>
          <w:i/>
          <w:color w:val="707070"/>
          <w:sz w:val="18"/>
        </w:rPr>
        <w:t xml:space="preserve"> </w:t>
      </w:r>
      <w:r>
        <w:rPr>
          <w:i/>
          <w:color w:val="707070"/>
          <w:sz w:val="18"/>
        </w:rPr>
        <w:t xml:space="preserve">Lean:</w:t>
      </w:r>
      <w:r>
        <w:rPr>
          <w:i/>
          <w:color w:val="707070"/>
          <w:sz w:val="18"/>
        </w:rPr>
        <w:t xml:space="preserve"> </w:t>
      </w:r>
      <w:r>
        <w:rPr>
          <w:rStyle w:val="VerbatimChar"/>
          <w:i/>
          <w:color w:val="707070"/>
          <w:sz w:val="18"/>
        </w:rPr>
        <w:t xml:space="preserve">verification/lean/HodgeLaboratory.lean</w:t>
      </w:r>
      <w:r>
        <w:rPr>
          <w:i/>
          <w:color w:val="707070"/>
          <w:sz w:val="18"/>
        </w:rPr>
        <w:t xml:space="preserve">.</w:t>
      </w:r>
      <w:r>
        <w:rPr>
          <w:i/>
          <w:color w:val="707070"/>
          <w:sz w:val="18"/>
        </w:rPr>
        <w:t xml:space="preserve"> </w:t>
      </w:r>
    </w:p>
    <w:bookmarkEnd w:id="21"/>
    <w:sectPr>
      <w:pgMar w:bottom="1361" w:left="1361" w:right="1361" w:top="136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 w:line="312" w:lineRule="auto"/>
    </w:pPr>
    <w:rPr>
      <w:rFonts w:ascii="Times New Roman" w:cs="Times New Roman" w:eastAsia="Times New Roman" w:hAnsi="Times New Roman"/>
      <w:sz w:val="22"/>
    </w:rPr>
  </w:style>
  <w:style w:styleId="BodyText" w:type="paragraph">
    <w:name w:val="Body Text"/>
    <w:basedOn w:val="Normal"/>
    <w:link w:val="BodyTextChar"/>
    <w:qFormat/>
    <w:pPr>
      <w:spacing w:after="180" w:before="180" w:line="312" w:lineRule="auto"/>
      <w:jc w:val="both"/>
    </w:pPr>
    <w:rPr>
      <w:rFonts w:ascii="Times New Roman" w:cs="Times New Roman" w:eastAsia="Times New Roman" w:hAnsi="Times New Roman"/>
      <w:sz w:val="22"/>
    </w:rPr>
  </w:style>
  <w:style w:customStyle="1" w:styleId="FirstParagraph" w:type="paragraph">
    <w:name w:val="First Paragraph"/>
    <w:basedOn w:val="BodyText"/>
    <w:next w:val="BodyText"/>
    <w:qFormat/>
    <w:pPr>
      <w:spacing w:line="312" w:lineRule="auto"/>
      <w:jc w:val="both"/>
    </w:pPr>
    <w:rPr>
      <w:rFonts w:ascii="Times New Roman" w:cs="Times New Roman" w:eastAsia="Times New Roman" w:hAnsi="Times New Roman"/>
      <w:sz w:val="22"/>
    </w:rPr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pBdr>
        <w:left w:color="1F4E79" w:space="6" w:sz="18" w:val="single"/>
      </w:pBdr>
      <w:shd w:fill="F4F6F9" w:val="clear"/>
      <w:spacing w:after="160" w:before="160" w:line="300" w:lineRule="auto"/>
      <w:ind w:firstLine="0" w:left="255" w:right="85"/>
      <w:jc w:val="both"/>
    </w:pPr>
    <w:rPr>
      <w:rFonts w:ascii="Times New Roman" w:cs="Times New Roman" w:eastAsia="Times New Roman" w:hAnsi="Times New Roman"/>
      <w:sz w:val="21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  <w:jc w:val="center"/>
    </w:pPr>
    <w:rPr>
      <w:rFonts w:ascii="Times New Roman" w:cs="Times New Roman" w:eastAsia="Times New Roman" w:hAnsi="Times New Roman"/>
      <w:i/>
      <w:color w:val="555555"/>
      <w:sz w:val="19"/>
    </w:rPr>
  </w:style>
  <w:style w:customStyle="1" w:styleId="TableCaption" w:type="paragraph">
    <w:name w:val="Table Caption"/>
    <w:basedOn w:val="Caption"/>
    <w:pPr>
      <w:keepNext/>
      <w:jc w:val="center"/>
    </w:pPr>
    <w:rPr>
      <w:rFonts w:ascii="Times New Roman" w:cs="Times New Roman" w:eastAsia="Times New Roman" w:hAnsi="Times New Roman"/>
      <w:color w:val="555555"/>
      <w:sz w:val="19"/>
    </w:rPr>
  </w:style>
  <w:style w:customStyle="1" w:styleId="ImageCaption" w:type="paragraph">
    <w:name w:val="Image Caption"/>
    <w:basedOn w:val="Caption"/>
    <w:pPr>
      <w:jc w:val="center"/>
    </w:pPr>
    <w:rPr>
      <w:rFonts w:ascii="Times New Roman" w:cs="Times New Roman" w:eastAsia="Times New Roman" w:hAnsi="Times New Roman"/>
      <w:color w:val="555555"/>
      <w:sz w:val="19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Theorem 1: The Riemann Relations as an Identity</dc:title>
  <dc:creator>Isaev Iskhak Khamzatovich</dc:creator>
  <dc:language>en-US</dc:language>
  <cp:keywords>hodge-laboratory, theorem monograph, EN</cp:keywords>
  <dcterms:created xsi:type="dcterms:W3CDTF">2026-09-23T16:56:51Z</dcterms:created>
  <dcterms:modified xsi:type="dcterms:W3CDTF">2026-09-23T16:56:51Z</dcterms:modified>
  <dc:subject>Standalone theorem monograph 4/16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