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Теорема 1: соотношения Римана как тождество</w:t>
      </w:r>
    </w:p>
    <w:p>
      <w:pPr>
        <w:jc w:val="center"/>
      </w:pPr>
      <w:r>
        <w:rPr>
          <w:b w:val="0"/>
          <w:i w:val="0"/>
          <w:color w:val="404040"/>
          <w:sz w:val="26"/>
        </w:rPr>
        <w:t>симметрия и положительность период-матрицы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4/16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Соотношения Римана — симметрия и положительная определённость</w:t>
      </w:r>
      <w:r>
        <w:t xml:space="preserve"> </w:t>
      </w:r>
      <w:r>
        <w:t xml:space="preserve">мнимой части период-матрицы — на кривой доказываются</w:t>
      </w:r>
      <w:r>
        <w:t xml:space="preserve"> </w:t>
      </w:r>
      <w:r>
        <w:rPr>
          <w:i/>
          <w:iCs/>
        </w:rPr>
        <w:t xml:space="preserve">тождественно</w:t>
      </w:r>
      <w:r>
        <w:t xml:space="preserve">, без всякой численной проверки: численный</w:t>
      </w:r>
      <w:r>
        <w:t xml:space="preserve"> </w:t>
      </w:r>
      <w:r>
        <w:t xml:space="preserve">контроль тождества был бы слабее доказательства. Для стенда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это означает: на матрицах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 </w:t>
      </w:r>
      <w:r>
        <w:t xml:space="preserve">проверять числом нечего — доказано.</w:t>
      </w:r>
    </w:p>
    <w:p>
      <w:pPr>
        <w:pStyle w:val="BodyText"/>
      </w:pPr>
      <w:r>
        <w:rPr>
          <w:b/>
          <w:bCs/>
        </w:rPr>
        <w:t xml:space="preserve">Определение 1</w:t>
      </w:r>
      <w:r>
        <w:t xml:space="preserve"> </w:t>
      </w:r>
      <w:r>
        <w:t xml:space="preserve">(нормированная период-матрица).</w:t>
      </w:r>
      <w:r>
        <w:t xml:space="preserve"> </w:t>
      </w:r>
      <w:r>
        <w:t xml:space="preserve"> </w:t>
      </w:r>
      <w:r>
        <w:t xml:space="preserve">В симплектическом базисе</w:t>
      </w:r>
      <w:r>
        <w:t xml:space="preserve"> </w:t>
      </w:r>
      <m:oMath>
        <m:r>
          <m:rPr>
            <m:sty m:val="p"/>
            <m:scr m:val="fraktur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нормируем формы</w:t>
      </w:r>
      <w:r>
        <w:t xml:space="preserve"> </w:t>
      </w:r>
      <w:r>
        <w:t xml:space="preserve">условием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ω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и положим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ω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.</w:t>
      </w:r>
    </w:p>
    <w:bookmarkStart w:id="20" w:name="th:riemann"/>
    <w:p>
      <w:pPr>
        <w:pStyle w:val="BodyText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(соотношения Римана).</w:t>
      </w:r>
      <w:r>
        <w:t xml:space="preserve"> </w:t>
      </w:r>
      <w:r>
        <w:t xml:space="preserve"> </w:t>
      </w:r>
      <w:r>
        <w:rPr>
          <w:i/>
          <w:iCs/>
        </w:rPr>
        <w:t xml:space="preserve">Для период-матрицы выполнены:</w:t>
      </w:r>
      <w:r>
        <w:rPr>
          <w:i/>
          <w:iCs/>
        </w:rPr>
        <w:t xml:space="preserve"> </w:t>
      </w:r>
      <w:r>
        <w:rPr>
          <w:i/>
          <w:iCs/>
        </w:rPr>
        <w:t xml:space="preserve">(1)</w:t>
      </w:r>
      <w:r>
        <w:rPr>
          <w:i/>
          <w:iCs/>
        </w:rPr>
        <w:t xml:space="preserve"> </w:t>
      </w:r>
      <m:oMath>
        <m:sSup>
          <m:e>
            <m:r>
              <m:t>Ω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p"/>
          </m:rPr>
          <m:t>=</m:t>
        </m:r>
        <m:r>
          <m:t>Ω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(2)</w:t>
      </w:r>
      <w:r>
        <w:rPr>
          <w:i/>
          <w:iCs/>
        </w:rPr>
        <w:t xml:space="preserve"> </w:t>
      </w:r>
      <m:oMath>
        <m:r>
          <m:rPr>
            <m:sty m:val="p"/>
          </m:rPr>
          <m:t>Im</m:t>
        </m:r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положительно определена: для любого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≠</m:t>
        </m:r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g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имеет место</w:t>
      </w:r>
      <w:r>
        <w:rPr>
          <w:i/>
          <w:iCs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Im</m:t>
            </m:r>
            <m:r>
              <m:t>Ω</m:t>
            </m:r>
          </m:e>
        </m:d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Инструмент — билинейное тождество Римана. Для фундаментального</w:t>
      </w:r>
      <w:r>
        <w:t xml:space="preserve"> </w:t>
      </w:r>
      <m:oMath>
        <m:r>
          <m:t>4</m:t>
        </m:r>
        <m:r>
          <m:t>g</m:t>
        </m:r>
      </m:oMath>
      <w:r>
        <w:t xml:space="preserve">-угольника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с рёбрами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замкнутых форм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формула Стокса с сокращением противоположных рёбер</w:t>
      </w:r>
      <w:r>
        <w:t xml:space="preserve"> </w:t>
      </w:r>
      <w:r>
        <w:t xml:space="preserve">даёт</w:t>
      </w:r>
    </w:p>
    <w:p>
      <w:pPr>
        <w:pStyle w:val="BodyText"/>
      </w:pPr>
      <w:r>
        <w:t xml:space="preserve">$$\iint_F \alpha\wedge\beta
  =\sum_{i=1}^{g}\Bigl(
    \int_{a_i}\alpha\int_{b_i}\beta
    -\int_{b_i}\alpha\int_{a_i}\beta\Bigr).$$</w:t>
      </w:r>
    </w:p>
    <w:p>
      <w:pPr>
        <w:pStyle w:val="FirstParagraph"/>
      </w:pPr>
      <w:r>
        <w:rPr>
          <w:i/>
          <w:iCs/>
        </w:rPr>
        <w:t xml:space="preserve">Симметрия:</w:t>
      </w:r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голоморфный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-объект</w:t>
      </w:r>
      <w:r>
        <w:t xml:space="preserve"> </w:t>
      </w:r>
      <m:oMath>
        <m:sSub>
          <m:e>
            <m:r>
              <m:t>ω</m:t>
            </m:r>
          </m:e>
          <m:sub>
            <m:r>
              <m:t>j</m:t>
            </m:r>
          </m:sub>
        </m:sSub>
        <m:r>
          <m:rPr>
            <m:sty m:val="p"/>
          </m:rPr>
          <m:t>∧</m:t>
        </m:r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Sup>
          <m:e>
            <m:r>
              <m:t>Ω</m:t>
            </m:r>
          </m:e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), и тождество даёт</w:t>
      </w:r>
      <w:r>
        <w:t xml:space="preserve"> </w:t>
      </w:r>
      <m:oMath>
        <m:sSub>
          <m:e>
            <m:r>
              <m:t>Ω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Положительность:</w:t>
      </w:r>
      <w:r>
        <w:t xml:space="preserve"> </w:t>
      </w: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λ</m:t>
            </m:r>
          </m:e>
          <m:sub>
            <m:r>
              <m:t>k</m:t>
            </m:r>
          </m:sub>
        </m:sSub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ω</m:t>
            </m:r>
          </m:e>
        </m:bar>
      </m:oMath>
      <w:r>
        <w:t xml:space="preserve"> </w:t>
      </w:r>
      <w:r>
        <w:t xml:space="preserve">имеем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d</m:t>
        </m:r>
        <m:r>
          <m:t>z</m:t>
        </m:r>
        <m:r>
          <m:rPr>
            <m:sty m:val="p"/>
          </m:rPr>
          <m:t>∧</m:t>
        </m:r>
        <m:r>
          <m:t>d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∧</m:t>
        </m:r>
        <m:r>
          <m:t>d</m:t>
        </m:r>
        <m:r>
          <m:t>y</m:t>
        </m:r>
      </m:oMath>
      <w:r>
        <w:t xml:space="preserve">; левая часть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t>d</m:t>
        </m:r>
        <m:r>
          <m:t>y</m:t>
        </m:r>
      </m:oMath>
      <w:r>
        <w:t xml:space="preserve">; правая с учётом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ω</m:t>
            </m:r>
          </m:e>
        </m:nary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ω</m:t>
            </m:r>
          </m:e>
        </m:nary>
        <m:r>
          <m:rPr>
            <m:sty m:val="p"/>
          </m:rPr>
          <m:t>=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  <m:sSup>
                  <m:e>
                    <m:r>
                      <m:t>λ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b>
            <m:r>
              <m:t>i</m:t>
            </m:r>
          </m:sub>
        </m:sSub>
      </m:oMath>
      <w:r>
        <w:t xml:space="preserve"> </w:t>
      </w:r>
      <w:r>
        <w:t xml:space="preserve">равна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i</m:t>
        </m:r>
        <m:sSup>
          <m:e>
            <m:r>
              <m:t>λ</m:t>
            </m:r>
          </m:e>
          <m:sup>
            <m: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Im</m:t>
            </m:r>
            <m:r>
              <m:t>Ω</m:t>
            </m:r>
          </m:e>
        </m:d>
        <m:sSup>
          <m:e>
            <m:bar>
              <m:barPr>
                <m:pos m:val="top"/>
              </m:barPr>
              <m:e>
                <m:r>
                  <m:t>λ</m:t>
                </m:r>
              </m:e>
            </m:bar>
          </m:e>
          <m:sup>
            <m:r>
              <m:t>T</m:t>
            </m:r>
          </m:sup>
        </m:sSup>
      </m:oMath>
      <w:r>
        <w:t xml:space="preserve"> </w:t>
      </w:r>
      <w:r>
        <w:t xml:space="preserve">(использована</w:t>
      </w:r>
      <w:r>
        <w:t xml:space="preserve"> </w:t>
      </w:r>
      <w:r>
        <w:t xml:space="preserve">симметрия пункта 1). Сокращая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:</w:t>
      </w:r>
      <w:r>
        <w:t xml:space="preserve"> </w:t>
      </w:r>
      <m:oMath>
        <m:sSup>
          <m:e>
            <m:r>
              <m:t>λ</m:t>
            </m:r>
          </m:e>
          <m:sup>
            <m: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Im</m:t>
            </m:r>
            <m:r>
              <m:t>Ω</m:t>
            </m:r>
          </m:e>
        </m:d>
        <m:sSup>
          <m:e>
            <m:bar>
              <m:barPr>
                <m:pos m:val="top"/>
              </m:barPr>
              <m:e>
                <m:r>
                  <m:t>λ</m:t>
                </m:r>
              </m:e>
            </m:bar>
          </m:e>
          <m:sup>
            <m:r>
              <m:t>T</m:t>
            </m:r>
          </m:sup>
        </m:sSup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для вещественного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это утверждение 2. ◻</w:t>
      </w:r>
    </w:p>
    <w:p>
      <w:pPr>
        <w:pStyle w:val="BodyText"/>
      </w:pPr>
      <w:r>
        <w:rPr>
          <w:i/>
          <w:iCs/>
        </w:rPr>
        <w:t xml:space="preserve">Замечание 3</w:t>
      </w:r>
      <w:r>
        <w:t xml:space="preserve"> </w:t>
      </w:r>
      <w:r>
        <w:t xml:space="preserve">(почему не нужен самосопряжённый оператор).</w:t>
      </w:r>
      <w:r>
        <w:t xml:space="preserve"> </w:t>
      </w:r>
      <w:r>
        <w:t xml:space="preserve"> </w:t>
      </w:r>
      <w:r>
        <w:t xml:space="preserve">«Симплектический» относится исключительно к косой форме</w:t>
      </w:r>
      <w:r>
        <w:t xml:space="preserve"> </w:t>
      </w:r>
      <w:r>
        <w:t xml:space="preserve">пересечений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на целочисленной решётке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объекту топологическому. В теореме участвуют ровно два построенных</w:t>
      </w:r>
      <w:r>
        <w:t xml:space="preserve"> </w:t>
      </w:r>
      <w:r>
        <w:t xml:space="preserve">объекта: решётка циклов и интегралы форм. Соотношения Римана —</w:t>
      </w:r>
      <w:r>
        <w:t xml:space="preserve"> </w:t>
      </w:r>
      <w:r>
        <w:t xml:space="preserve">тождество, которое наша собственная период-матрица обязана</w:t>
      </w:r>
      <w:r>
        <w:t xml:space="preserve"> </w:t>
      </w:r>
      <w:r>
        <w:t xml:space="preserve">выполнять. Числа — лишь одноразовая санити-строка вне текста.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Теорема доказана билинейным тождеством Римана; единственная</w:t>
      </w:r>
      <w:r>
        <w:t xml:space="preserve"> </w:t>
      </w:r>
      <w:r>
        <w:t xml:space="preserve">аналитическая посылка — формула Стокса. Следствие для программы:</w:t>
      </w:r>
      <w:r>
        <w:t xml:space="preserve"> </w:t>
      </w:r>
      <w:r>
        <w:t xml:space="preserve">форма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поляризация, вход модуля индексов решётки Ходжа</w:t>
      </w:r>
      <w:r>
        <w:t xml:space="preserve"> </w:t>
      </w:r>
      <w:r>
        <w:t xml:space="preserve">(теорема 3).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t xml:space="preserve">Тождественная природа теоремы означает: верификация —</w:t>
      </w:r>
      <w:r>
        <w:t xml:space="preserve"> </w:t>
      </w:r>
      <w:r>
        <w:t xml:space="preserve">машинное доказательство структуры, а не численный прогон. Lean-панель</w:t>
      </w:r>
      <w:r>
        <w:t xml:space="preserve"> </w:t>
      </w:r>
      <w:r>
        <w:t xml:space="preserve">проверяет целочисленные следствия (ранги</w:t>
      </w:r>
      <w:r>
        <w:t xml:space="preserve"> </w:t>
      </w:r>
      <m:oMath>
        <m:r>
          <m:t>91</m:t>
        </m:r>
      </m:oMath>
      <w:r>
        <w:t xml:space="preserve">,</w:t>
      </w:r>
      <w:r>
        <w:t xml:space="preserve"> </w:t>
      </w:r>
      <m:oMath>
        <m:r>
          <m:t>406</m:t>
        </m:r>
      </m:oMath>
      <w:r>
        <w:t xml:space="preserve">); лаборатория</w:t>
      </w:r>
      <w:r>
        <w:t xml:space="preserve"> </w:t>
      </w:r>
      <w:r>
        <w:t xml:space="preserve">— санити-строку (V7: ранг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, обусловленности</w:t>
      </w:r>
      <w:r>
        <w:t xml:space="preserve"> </w:t>
      </w:r>
      <m:oMath>
        <m:r>
          <m:t>8.63</m:t>
        </m:r>
      </m:oMath>
      <w:r>
        <w:t xml:space="preserve">,</w:t>
      </w:r>
      <w:r>
        <w:t xml:space="preserve"> </w:t>
      </w:r>
      <m:oMath>
        <m:r>
          <m:t>18.17</m:t>
        </m:r>
      </m:oMath>
      <w:r>
        <w:t xml:space="preserve">).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1: соотношения Римана как тождество</dc:title>
  <dc:creator>Исаев Исхак Хамзатович</dc:creator>
  <dc:language>ru-RU</dc:language>
  <cp:keywords>hodge-laboratory, theorem monograph, RU</cp:keywords>
  <dcterms:created xsi:type="dcterms:W3CDTF">2026-09-23T16:56:51Z</dcterms:created>
  <dcterms:modified xsi:type="dcterms:W3CDTF">2026-09-23T16:56:51Z</dcterms:modified>
  <dc:subject>Standalone theorem monograph 4/16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