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jc w:val="center"/>
      </w:pPr>
      <w:r>
        <w:rPr>
          <w:b/>
          <w:i w:val="0"/>
          <w:color w:val="1F4E79"/>
          <w:sz w:val="40"/>
        </w:rPr>
        <w:t>Theorem 2: Gamma-Normalization and Fractional Pi</w:t>
      </w:r>
    </w:p>
    <w:p>
      <w:pPr>
        <w:jc w:val="center"/>
      </w:pPr>
      <w:r>
        <w:rPr>
          <w:b w:val="0"/>
          <w:i w:val="0"/>
          <w:color w:val="404040"/>
          <w:sz w:val="26"/>
        </w:rPr>
        <w:t>algebraicity of normalized periods and the radical constants</w:t>
      </w:r>
    </w:p>
    <w:p>
      <w:pPr>
        <w:jc w:val="center"/>
      </w:pPr>
      <w:r>
        <w:rPr>
          <w:b/>
          <w:i w:val="0"/>
          <w:color w:val="202020"/>
          <w:sz w:val="23"/>
        </w:rPr>
        <w:t>Isaev Iskhak Khamzatovich</w:t>
      </w:r>
    </w:p>
    <w:p>
      <w:pPr>
        <w:jc w:val="center"/>
      </w:pPr>
      <w:r>
        <w:rPr>
          <w:b w:val="0"/>
          <w:i w:val="0"/>
          <w:color w:val="666666"/>
          <w:sz w:val="19"/>
        </w:rPr>
        <w:t>The «Dynamic Principle» Program — the hodge-laboratory</w:t>
      </w:r>
    </w:p>
    <w:p>
      <w:pPr>
        <w:jc w:val="center"/>
      </w:pPr>
      <w:r>
        <w:rPr>
          <w:b w:val="0"/>
          <w:i w:val="0"/>
          <w:color w:val="666666"/>
          <w:sz w:val="19"/>
        </w:rPr>
        <w:t>Standalone theorem monograph · Монография 5/16</w:t>
      </w:r>
    </w:p>
    <w:bookmarkStart w:id="21" w:name="setting"/>
    <w:p>
      <w:pPr>
        <w:pStyle w:val="Heading1"/>
      </w:pPr>
      <w:r>
        <w:t xml:space="preserve">Setting</w:t>
      </w:r>
    </w:p>
    <w:p>
      <w:pPr>
        <w:pStyle w:val="FirstParagraph"/>
      </w:pPr>
      <w:r>
        <w:t xml:space="preserve">The</w:t>
      </w:r>
      <w:r>
        <w:t xml:space="preserve"> </w:t>
      </w:r>
      <m:oMath>
        <m:r>
          <m:t>Γ</m:t>
        </m:r>
      </m:oMath>
      <w:r>
        <w:t xml:space="preserve">-normalization absorbs the transcendental factor of every</w:t>
      </w:r>
      <w:r>
        <w:t xml:space="preserve"> </w:t>
      </w:r>
      <w:r>
        <w:t xml:space="preserve">period, turning normalized periods into algebraic numbers of the</w:t>
      </w:r>
      <w:r>
        <w:t xml:space="preserve"> </w:t>
      </w:r>
      <w:r>
        <w:t xml:space="preserve">phase lattice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  <m:scr m:val="double-struck"/>
          </m:rPr>
          <m:t>Z</m:t>
        </m:r>
        <m:d>
          <m:dPr>
            <m:begChr m:val="["/>
            <m:endChr m:val="]"/>
            <m:sepChr m:val=""/>
            <m:grow/>
          </m:dPr>
          <m:e>
            <m:sSub>
              <m:e>
                <m:r>
                  <m:t>ζ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. The program’s requirement —</w:t>
      </w:r>
      <w:r>
        <w:t xml:space="preserve"> </w:t>
      </w:r>
      <w:r>
        <w:t xml:space="preserve">fractional shares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4</m:t>
        </m:r>
        <m:sSup>
          <m:e>
            <m:r>
              <m:t>π</m:t>
            </m:r>
          </m:e>
          <m:sup>
            <m:r>
              <m:t>2</m:t>
            </m:r>
          </m:sup>
        </m:sSup>
      </m:oMath>
      <w:r>
        <w:t xml:space="preserve">-normalizations —</w:t>
      </w:r>
      <w:r>
        <w:t xml:space="preserve"> </w:t>
      </w:r>
      <w:r>
        <w:t xml:space="preserve">holds structurally on the stand.</w:t>
      </w:r>
    </w:p>
    <w:p>
      <w:pPr>
        <w:pStyle w:val="BodyText"/>
      </w:pPr>
      <w:r>
        <w:rPr>
          <w:b/>
          <w:bCs/>
        </w:rPr>
        <w:t xml:space="preserve">Definition 1</w:t>
      </w:r>
      <w:r>
        <w:t xml:space="preserve"> </w:t>
      </w:r>
      <w:r>
        <w:t xml:space="preserve">(</w:t>
      </w:r>
      <m:oMath>
        <m:r>
          <m:t>Γ</m:t>
        </m:r>
      </m:oMath>
      <w:r>
        <w:t xml:space="preserve">-normalization).</w:t>
      </w:r>
      <w:r>
        <w:t xml:space="preserve"> 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f>
          <m:fPr>
            <m:type m:val="bar"/>
          </m:fPr>
          <m:num>
            <m:sSub>
              <m:e>
                <m:r>
                  <m:t>Ω</m:t>
                </m:r>
              </m:e>
              <m:sub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b</m:t>
                </m:r>
              </m:sub>
            </m:sSub>
          </m:num>
          <m:den>
            <m:r>
              <m:t>N</m:t>
            </m:r>
          </m:den>
        </m:f>
        <m:r>
          <m:rPr>
            <m:sty m:val="p"/>
            <m:scr m:val="double-struck"/>
          </m:rPr>
          <m:t>Z</m:t>
        </m:r>
        <m:d>
          <m:dPr>
            <m:begChr m:val="["/>
            <m:endChr m:val="]"/>
            <m:sepChr m:val=""/>
            <m:grow/>
          </m:dPr>
          <m:e>
            <m:sSub>
              <m:e>
                <m:r>
                  <m:t>ζ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t xml:space="preserve">the normalized period</w:t>
      </w:r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  <m:r>
          <m:rPr>
            <m:sty m:val="p"/>
          </m:rPr>
          <m:t>=</m:t>
        </m:r>
        <m:r>
          <m:t>P</m:t>
        </m:r>
        <m:r>
          <m:rPr>
            <m:sty m:val="p"/>
          </m:rPr>
          <m:t>/</m:t>
        </m:r>
        <m:sSub>
          <m:e>
            <m:r>
              <m:t>Ω</m:t>
            </m:r>
          </m:e>
          <m:sub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sub>
        </m:sSub>
        <m:r>
          <m:rPr>
            <m:sty m:val="p"/>
          </m:rPr>
          <m:t>∈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  <m:scr m:val="double-struck"/>
          </m:rPr>
          <m:t>Z</m:t>
        </m:r>
        <m:d>
          <m:dPr>
            <m:begChr m:val="["/>
            <m:endChr m:val="]"/>
            <m:sepChr m:val=""/>
            <m:grow/>
          </m:dPr>
          <m:e>
            <m:sSub>
              <m:e>
                <m:r>
                  <m:t>ζ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.</w:t>
      </w:r>
    </w:p>
    <w:bookmarkStart w:id="20" w:name="th:norm"/>
    <w:p>
      <w:pPr>
        <w:pStyle w:val="BodyText"/>
      </w:pPr>
      <w:r>
        <w:rPr>
          <w:b/>
          <w:bCs/>
        </w:rPr>
        <w:t xml:space="preserve">Theorem 2</w:t>
      </w:r>
      <w:r>
        <w:t xml:space="preserve"> </w:t>
      </w:r>
      <w:r>
        <w:t xml:space="preserve">(</w:t>
      </w:r>
      <m:oMath>
        <m:r>
          <m:t>Γ</m:t>
        </m:r>
      </m:oMath>
      <w:r>
        <w:t xml:space="preserve">-normalization and fractional</w:t>
      </w:r>
      <w:r>
        <w:t xml:space="preserve"> </w:t>
      </w:r>
      <m:oMath>
        <m:r>
          <m:t>π</m:t>
        </m:r>
      </m:oMath>
      <w:r>
        <w:t xml:space="preserve">).</w:t>
      </w:r>
      <w:r>
        <w:t xml:space="preserve"> </w:t>
      </w:r>
      <w:r>
        <w:t xml:space="preserve"> </w:t>
      </w:r>
      <w:r>
        <w:rPr>
          <w:i/>
          <w:iCs/>
        </w:rPr>
        <w:t xml:space="preserve">Let</w:t>
      </w:r>
      <w:r>
        <w:rPr>
          <w:i/>
          <w:iCs/>
        </w:rP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15</m:t>
        </m:r>
        <m:r>
          <m:rPr>
            <m:sty m:val="p"/>
          </m:rPr>
          <m:t>,</m:t>
        </m:r>
        <m:r>
          <m:t>30</m:t>
        </m:r>
        <m:r>
          <m:rPr>
            <m:sty m:val="p"/>
          </m:rPr>
          <m:t>}</m:t>
        </m:r>
      </m:oMath>
      <w:r>
        <w:rPr>
          <w:i/>
          <w:iCs/>
        </w:rPr>
        <w:t xml:space="preserve">. Then: (1) algebraicity:</w:t>
      </w:r>
      <w:r>
        <w:rPr>
          <w:i/>
          <w:iCs/>
        </w:rP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  <m:r>
          <m:rPr>
            <m:sty m:val="p"/>
          </m:rPr>
          <m:t>∈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  <m:scr m:val="double-struck"/>
          </m:rPr>
          <m:t>Z</m:t>
        </m:r>
        <m:d>
          <m:dPr>
            <m:begChr m:val="["/>
            <m:endChr m:val="]"/>
            <m:sepChr m:val=""/>
            <m:grow/>
          </m:dPr>
          <m:e>
            <m:sSub>
              <m:e>
                <m:r>
                  <m:t>ζ</m:t>
                </m:r>
              </m:e>
              <m:sub>
                <m:r>
                  <m:t>N</m:t>
                </m:r>
              </m:sub>
            </m:sSub>
          </m:e>
        </m:d>
      </m:oMath>
      <w:r>
        <w:rPr>
          <w:i/>
          <w:iCs/>
        </w:rPr>
        <w:t xml:space="preserve"> </w:t>
      </w:r>
      <w:r>
        <w:rPr>
          <w:i/>
          <w:iCs/>
        </w:rPr>
        <w:t xml:space="preserve">— the phase lattice has</w:t>
      </w:r>
      <w:r>
        <w:rPr>
          <w:i/>
          <w:iCs/>
        </w:rPr>
        <w:t xml:space="preserve"> </w:t>
      </w:r>
      <w:r>
        <w:rPr>
          <w:i/>
          <w:iCs/>
        </w:rPr>
        <w:t xml:space="preserve">denominator</w:t>
      </w:r>
      <w:r>
        <w:rPr>
          <w:i/>
          <w:iCs/>
        </w:rPr>
        <w:t xml:space="preserve"> </w:t>
      </w:r>
      <m:oMath>
        <m:r>
          <m:t>N</m:t>
        </m:r>
      </m:oMath>
      <w:r>
        <w:rPr>
          <w:i/>
          <w:iCs/>
        </w:rPr>
        <w:t xml:space="preserve">; (2) reduction: each</w:t>
      </w:r>
      <w:r>
        <w:rPr>
          <w:i/>
          <w:iCs/>
        </w:rPr>
        <w:t xml:space="preserve"> </w:t>
      </w:r>
      <m:oMath>
        <m:sSub>
          <m:e>
            <m:r>
              <m:t>Ω</m:t>
            </m:r>
          </m:e>
          <m:sub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is expressed</w:t>
      </w:r>
      <w:r>
        <w:rPr>
          <w:i/>
          <w:iCs/>
        </w:rPr>
        <w:t xml:space="preserve"> </w:t>
      </w:r>
      <w:r>
        <w:rPr>
          <w:i/>
          <w:iCs/>
        </w:rPr>
        <w:t xml:space="preserve">through canonical</w:t>
      </w:r>
      <w:r>
        <w:rPr>
          <w:i/>
          <w:iCs/>
        </w:rPr>
        <w:t xml:space="preserve"> </w:t>
      </w:r>
      <m:oMath>
        <m:r>
          <m:t>Γ</m:t>
        </m:r>
      </m:oMath>
      <w:r>
        <w:rPr>
          <w:i/>
          <w:iCs/>
        </w:rPr>
        <w:t xml:space="preserve">-values and factors</w:t>
      </w:r>
      <w:r>
        <w:rPr>
          <w:i/>
          <w:iCs/>
        </w:rPr>
        <w:t xml:space="preserve"> </w:t>
      </w:r>
      <m:oMath>
        <m:r>
          <m:t>π</m:t>
        </m:r>
        <m:r>
          <m:rPr>
            <m:sty m:val="p"/>
          </m:rPr>
          <m:t>/</m:t>
        </m:r>
        <m:r>
          <m:rPr>
            <m:sty m:val="p"/>
          </m:rPr>
          <m:t>sin</m:t>
        </m:r>
        <m:d>
          <m:dPr>
            <m:begChr m:val="("/>
            <m:endChr m:val=")"/>
            <m:sepChr m:val=""/>
            <m:grow/>
          </m:dPr>
          <m:e>
            <m:r>
              <m:t>π</m:t>
            </m:r>
            <m:r>
              <m:t>k</m:t>
            </m:r>
            <m:r>
              <m:rPr>
                <m:sty m:val="p"/>
              </m:rPr>
              <m:t>/</m:t>
            </m:r>
            <m:r>
              <m:t>N</m:t>
            </m:r>
          </m:e>
        </m:d>
      </m:oMath>
      <w:r>
        <w:rPr>
          <w:i/>
          <w:iCs/>
        </w:rPr>
        <w:t xml:space="preserve">; at</w:t>
      </w:r>
      <w:r>
        <w:rPr>
          <w:i/>
          <w:iCs/>
        </w:rP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N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— a pure share of</w:t>
      </w:r>
      <w:r>
        <w:rPr>
          <w:i/>
          <w:iCs/>
        </w:rPr>
        <w:t xml:space="preserve"> </w:t>
      </w:r>
      <m:oMath>
        <m:r>
          <m:t>π</m:t>
        </m:r>
      </m:oMath>
      <w:r>
        <w:rPr>
          <w:i/>
          <w:iCs/>
        </w:rPr>
        <w:t xml:space="preserve">; (3) no</w:t>
      </w:r>
      <w:r>
        <w:rPr>
          <w:i/>
          <w:iCs/>
        </w:rPr>
        <w:t xml:space="preserve"> </w:t>
      </w:r>
      <m:oMath>
        <m:r>
          <m:t>4</m:t>
        </m:r>
        <m:sSup>
          <m:e>
            <m:r>
              <m:t>π</m:t>
            </m:r>
          </m:e>
          <m:sup>
            <m:r>
              <m:t>2</m:t>
            </m:r>
          </m:sup>
        </m:sSup>
      </m:oMath>
      <w:r>
        <w:rPr>
          <w:i/>
          <w:iCs/>
        </w:rPr>
        <w:t xml:space="preserve">:</w:t>
      </w:r>
      <w:r>
        <w:rPr>
          <w:i/>
          <w:iCs/>
        </w:rPr>
        <w:t xml:space="preserve"> </w:t>
      </w:r>
      <m:oMath>
        <m:r>
          <m:t>π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enters</w:t>
      </w:r>
      <w:r>
        <w:rPr>
          <w:i/>
          <w:iCs/>
        </w:rPr>
        <w:t xml:space="preserve"> </w:t>
      </w:r>
      <w:r>
        <w:rPr>
          <w:i/>
          <w:iCs/>
        </w:rPr>
        <w:t xml:space="preserve">only via</w:t>
      </w:r>
      <w:r>
        <w:rPr>
          <w:i/>
          <w:iCs/>
        </w:rPr>
        <w:t xml:space="preserve"> </w:t>
      </w:r>
      <m:oMath>
        <m:r>
          <m:t>π</m:t>
        </m:r>
        <m:r>
          <m:rPr>
            <m:sty m:val="p"/>
          </m:rPr>
          <m:t>/</m:t>
        </m:r>
        <m:r>
          <m:rPr>
            <m:sty m:val="p"/>
          </m:rPr>
          <m:t>sin</m:t>
        </m:r>
        <m:d>
          <m:dPr>
            <m:begChr m:val="("/>
            <m:endChr m:val=")"/>
            <m:sepChr m:val=""/>
            <m:grow/>
          </m:dPr>
          <m:e>
            <m:r>
              <m:t>π</m:t>
            </m:r>
            <m:r>
              <m:t>k</m:t>
            </m:r>
            <m:r>
              <m:rPr>
                <m:sty m:val="p"/>
              </m:rPr>
              <m:t>/</m:t>
            </m:r>
            <m:r>
              <m:t>N</m:t>
            </m:r>
          </m:e>
        </m:d>
      </m:oMath>
      <w:r>
        <w:rPr>
          <w:i/>
          <w:iCs/>
        </w:rPr>
        <w:t xml:space="preserve"> </w:t>
      </w:r>
      <w:r>
        <w:rPr>
          <w:i/>
          <w:iCs/>
        </w:rPr>
        <w:t xml:space="preserve">and the multiplication formula; no</w:t>
      </w:r>
      <w:r>
        <w:rPr>
          <w:i/>
          <w:iCs/>
        </w:rPr>
        <w:t xml:space="preserve"> </w:t>
      </w:r>
      <w:r>
        <w:rPr>
          <w:i/>
          <w:iCs/>
        </w:rPr>
        <w:t xml:space="preserve">power</w:t>
      </w:r>
      <w:r>
        <w:rPr>
          <w:i/>
          <w:iCs/>
        </w:rPr>
        <w:t xml:space="preserve"> </w:t>
      </w:r>
      <m:oMath>
        <m:r>
          <m:t>4</m:t>
        </m:r>
        <m:sSup>
          <m:e>
            <m:r>
              <m:t>π</m:t>
            </m:r>
          </m:e>
          <m:sup>
            <m:r>
              <m:t>2</m:t>
            </m:r>
          </m:sup>
        </m:sSup>
      </m:oMath>
      <w:r>
        <w:rPr>
          <w:i/>
          <w:iCs/>
        </w:rPr>
        <w:t xml:space="preserve"> </w:t>
      </w:r>
      <w:r>
        <w:rPr>
          <w:i/>
          <w:iCs/>
        </w:rPr>
        <w:t xml:space="preserve">arises in the normalization; (4) radicals:</w:t>
      </w:r>
      <w:r>
        <w:rPr>
          <w:i/>
          <w:iCs/>
        </w:rPr>
        <w:t xml:space="preserve"> </w:t>
      </w: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</m:mcs>
            </m:mPr>
            <m:mr>
              <m:e>
                <m:sSub>
                  <m:e>
                    <m:r>
                      <m:t>b</m:t>
                    </m:r>
                  </m:e>
                  <m:sub>
                    <m:r>
                      <m:t>C</m:t>
                    </m:r>
                    <m:r>
                      <m:t>h</m:t>
                    </m:r>
                  </m:sub>
                </m:sSub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15</m:t>
                    </m:r>
                  </m:e>
                </m:d>
              </m:e>
              <m:e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  <m:r>
                      <m:rPr>
                        <m:sty m:val="p"/>
                      </m:rPr>
                      <m:t>+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</m:e>
                    </m:rad>
                    <m:r>
                      <m:t> 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10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5</m:t>
                            </m:r>
                          </m:e>
                        </m:rad>
                      </m:e>
                    </m:rad>
                  </m:num>
                  <m:den>
                    <m:r>
                      <m:t>8</m:t>
                    </m:r>
                  </m:den>
                </m:f>
                <m:r>
                  <m:rPr>
                    <m:sty m:val="p"/>
                  </m:rPr>
                  <m:t>,</m:t>
                </m:r>
              </m:e>
            </m:mr>
            <m:mr>
              <m:e>
                <m:sSub>
                  <m:e>
                    <m:r>
                      <m:t>b</m:t>
                    </m:r>
                  </m:e>
                  <m:sub>
                    <m:r>
                      <m:t>C</m:t>
                    </m:r>
                    <m:r>
                      <m:t>h</m:t>
                    </m:r>
                  </m:sub>
                </m:sSub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30</m:t>
                    </m:r>
                  </m:e>
                </m:d>
              </m:e>
              <m:e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30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5</m:t>
                            </m:r>
                          </m:e>
                        </m:rad>
                      </m:e>
                    </m:rad>
                    <m:r>
                      <m:rPr>
                        <m:sty m:val="p"/>
                      </m:rPr>
                      <m:t>+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8</m:t>
                    </m:r>
                  </m:den>
                </m:f>
                <m:r>
                  <m:rPr>
                    <m:sty m:val="p"/>
                  </m:rPr>
                  <m:t>.</m:t>
                </m:r>
              </m:e>
            </m:mr>
          </m:m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Proof.</w:t>
      </w:r>
      <w:r>
        <w:t xml:space="preserve"> </w:t>
      </w:r>
      <w:r>
        <w:t xml:space="preserve">(1) — dividing the lattice</w:t>
      </w:r>
      <w:r>
        <w:t xml:space="preserve"> </w:t>
      </w:r>
      <m:oMath>
        <m:f>
          <m:fPr>
            <m:type m:val="bar"/>
          </m:fPr>
          <m:num>
            <m:r>
              <m:t>Ω</m:t>
            </m:r>
          </m:num>
          <m:den>
            <m:r>
              <m:t>N</m:t>
            </m:r>
          </m:den>
        </m:f>
        <m:r>
          <m:rPr>
            <m:sty m:val="p"/>
            <m:scr m:val="double-struck"/>
          </m:rPr>
          <m:t>Z</m:t>
        </m:r>
        <m:d>
          <m:dPr>
            <m:begChr m:val="["/>
            <m:endChr m:val="]"/>
            <m:sepChr m:val=""/>
            <m:grow/>
          </m:dPr>
          <m:e>
            <m:sSub>
              <m:e>
                <m:r>
                  <m:t>ζ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t xml:space="preserve">by</w:t>
      </w:r>
      <w:r>
        <w:t xml:space="preserve"> </w:t>
      </w:r>
      <m:oMath>
        <m:r>
          <m:t>Ω</m:t>
        </m:r>
      </m:oMath>
      <w:r>
        <w:t xml:space="preserve">. (2)–(3) — the inventory: reflection introduces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only as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rPr>
            <m:sty m:val="p"/>
          </m:rPr>
          <m:t>sin</m:t>
        </m:r>
        <m:d>
          <m:dPr>
            <m:begChr m:val="("/>
            <m:endChr m:val=")"/>
            <m:sepChr m:val=""/>
            <m:grow/>
          </m:dPr>
          <m:e>
            <m:r>
              <m:t>π</m:t>
            </m:r>
            <m:r>
              <m:t>k</m:t>
            </m:r>
            <m:r>
              <m:rPr>
                <m:sty m:val="p"/>
              </m:rPr>
              <m:t>/</m:t>
            </m:r>
            <m:r>
              <m:t>N</m:t>
            </m:r>
          </m:e>
        </m:d>
      </m:oMath>
      <w:r>
        <w:t xml:space="preserve">, multiplication only as</w:t>
      </w:r>
      <w:r>
        <w:t xml:space="preserve"> </w:t>
      </w:r>
      <m:oMath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2</m:t>
                </m:r>
                <m:r>
                  <m:t>π</m:t>
                </m:r>
              </m:e>
            </m:d>
          </m:e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m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at integer</w:t>
      </w:r>
      <w:r>
        <w:t xml:space="preserve"> </w:t>
      </w:r>
      <m:oMath>
        <m:r>
          <m:t>m</m:t>
        </m:r>
      </m:oMath>
      <w:r>
        <w:t xml:space="preserve">; the normalization is built from</w:t>
      </w:r>
      <w:r>
        <w:t xml:space="preserve"> </w:t>
      </w:r>
      <w:r>
        <w:t xml:space="preserve">the periods themselves, so</w:t>
      </w:r>
      <w:r>
        <w:t xml:space="preserve"> </w:t>
      </w:r>
      <m:oMath>
        <m:r>
          <m:t>4</m:t>
        </m:r>
        <m:sSup>
          <m:e>
            <m:r>
              <m:t>π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generated. (4):</w:t>
      </w:r>
      <w:r>
        <w:t xml:space="preserve"> </w:t>
      </w:r>
      <m:oMath>
        <m:r>
          <m:rPr>
            <m:sty m:val="p"/>
          </m:rPr>
          <m:t>cos</m:t>
        </m:r>
        <m:sSup>
          <m:e>
            <m:r>
              <m:t>24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cos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60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36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cos</m:t>
        </m:r>
        <m:sSup>
          <m:e>
            <m:r>
              <m:t>36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sin</m:t>
        </m:r>
        <m:sSup>
          <m:e>
            <m:r>
              <m:t>36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num>
          <m:den>
            <m:r>
              <m:t>4</m:t>
            </m:r>
          </m:den>
        </m:f>
      </m:oMath>
      <w:r>
        <w:t xml:space="preserve"> </w:t>
      </w:r>
      <w:r>
        <w:t xml:space="preserve">gives the level-15</w:t>
      </w:r>
      <w:r>
        <w:t xml:space="preserve"> </w:t>
      </w:r>
      <w:r>
        <w:t xml:space="preserve">radical;</w:t>
      </w:r>
      <w:r>
        <w:t xml:space="preserve"> </w:t>
      </w:r>
      <m:oMath>
        <m:r>
          <m:rPr>
            <m:sty m:val="p"/>
          </m:rPr>
          <m:t>cos</m:t>
        </m:r>
        <m:sSup>
          <m:e>
            <m:r>
              <m:t>12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cos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30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18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cos</m:t>
        </m:r>
        <m:sSup>
          <m:e>
            <m:r>
              <m:t>18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sin</m:t>
        </m:r>
        <m:sSup>
          <m:e>
            <m:r>
              <m:t>18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level-30 one.</w:t>
      </w:r>
      <w:r>
        <w:t xml:space="preserve"> </w:t>
      </w:r>
      <w:r>
        <w:t xml:space="preserve">Numerically:</w:t>
      </w:r>
      <w:r>
        <w:t xml:space="preserve"> </w:t>
      </w:r>
      <m:oMath>
        <m:r>
          <m:t>0.086454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0.021854</m:t>
        </m:r>
      </m:oMath>
      <w:r>
        <w:t xml:space="preserve">. ◻</w:t>
      </w:r>
    </w:p>
    <w:p>
      <w:pPr>
        <w:pStyle w:val="BodyText"/>
      </w:pPr>
      <w:r>
        <w:rPr>
          <w:i/>
          <w:iCs/>
        </w:rPr>
        <w:t xml:space="preserve">Remark 3</w:t>
      </w:r>
      <w:r>
        <w:t xml:space="preserve">.</w:t>
      </w:r>
      <w:r>
        <w:t xml:space="preserve"> </w:t>
      </w:r>
      <w:r>
        <w:t xml:space="preserve"> </w:t>
      </w:r>
      <w:r>
        <w:t xml:space="preserve">The share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always rational with denominator</w:t>
      </w:r>
      <w:r>
        <w:t xml:space="preserve"> </w:t>
      </w:r>
      <m:oMath>
        <m:r>
          <m:t>N</m:t>
        </m:r>
      </m:oMath>
      <w:r>
        <w:t xml:space="preserve">: the</w:t>
      </w:r>
      <w:r>
        <w:t xml:space="preserve"> </w:t>
      </w:r>
      <w:r>
        <w:t xml:space="preserve">factor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rPr>
            <m:sty m:val="p"/>
          </m:rPr>
          <m:t>sin</m:t>
        </m:r>
        <m:d>
          <m:dPr>
            <m:begChr m:val="("/>
            <m:endChr m:val=")"/>
            <m:sepChr m:val=""/>
            <m:grow/>
          </m:dPr>
          <m:e>
            <m:r>
              <m:t>π</m:t>
            </m:r>
            <m:r>
              <m:t>k</m:t>
            </m:r>
            <m:r>
              <m:rPr>
                <m:sty m:val="p"/>
              </m:rPr>
              <m:t>/</m:t>
            </m:r>
            <m:r>
              <m:t>N</m:t>
            </m:r>
          </m:e>
        </m:d>
      </m:oMath>
      <w:r>
        <w:t xml:space="preserve"> </w:t>
      </w:r>
      <w:r>
        <w:t xml:space="preserve">carries the angle</w:t>
      </w:r>
      <w:r>
        <w:t xml:space="preserve"> </w:t>
      </w:r>
      <m:oMath>
        <m:r>
          <m:t>k</m:t>
        </m:r>
        <m:r>
          <m:t>π</m:t>
        </m:r>
        <m:r>
          <m:rPr>
            <m:sty m:val="p"/>
          </m:rPr>
          <m:t>/</m:t>
        </m:r>
        <m:r>
          <m:t>N</m:t>
        </m:r>
      </m:oMath>
      <w:r>
        <w:t xml:space="preserve">; the phase</w:t>
      </w:r>
      <w:r>
        <w:t xml:space="preserve"> </w:t>
      </w:r>
      <w:r>
        <w:t xml:space="preserve">lattice carries the denominator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algebra. A structural claim</w:t>
      </w:r>
      <w:r>
        <w:t xml:space="preserve"> </w:t>
      </w:r>
      <w:r>
        <w:t xml:space="preserve">— true for all blocks at once. The ladder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7</m:t>
        </m:r>
      </m:oMath>
      <w:r>
        <w:t xml:space="preserve">,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15</m:t>
        </m:r>
      </m:oMath>
      <w:r>
        <w:t xml:space="preserve">,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30</m:t>
        </m:r>
      </m:oMath>
      <w:r>
        <w:t xml:space="preserve"> </w:t>
      </w:r>
      <w:r>
        <w:t xml:space="preserve">is one</w:t>
      </w:r>
      <w:r>
        <w:t xml:space="preserve"> </w:t>
      </w:r>
      <m:oMath>
        <m:sSub>
          <m:e>
            <m:r>
              <m:t>μ</m:t>
            </m:r>
          </m:e>
          <m:sub>
            <m:r>
              <m:t>N</m:t>
            </m:r>
          </m:sub>
        </m:sSub>
      </m:oMath>
      <w:r>
        <w:t xml:space="preserve">-quantum ladder (certificates G, H).</w:t>
      </w:r>
    </w:p>
    <w:p>
      <w:pPr>
        <w:pStyle w:val="BlockText"/>
      </w:pPr>
      <w:r>
        <w:rPr>
          <w:b/>
          <w:bCs/>
        </w:rPr>
        <w:t xml:space="preserve">Protocol data (numbers).</w:t>
      </w:r>
      <w:r>
        <w:t xml:space="preserve"> </w:t>
      </w:r>
      <m:oMath>
        <m:sSub>
          <m:e>
            <m:r>
              <m:t>b</m:t>
            </m:r>
          </m:e>
          <m:sub>
            <m:r>
              <m:t>C</m:t>
            </m:r>
            <m:r>
              <m:t>h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7</m:t>
            </m:r>
          </m:e>
        </m:d>
        <m:r>
          <m:rPr>
            <m:sty m:val="p"/>
          </m:rPr>
          <m:t>≈</m:t>
        </m:r>
        <m:r>
          <m:t>0.7526</m:t>
        </m:r>
      </m:oMath>
      <w:r>
        <w:t xml:space="preserve">;</w:t>
      </w:r>
      <w:r>
        <w:t xml:space="preserve"> </w:t>
      </w:r>
      <m:oMath>
        <m:sSub>
          <m:e>
            <m:r>
              <m:t>b</m:t>
            </m:r>
          </m:e>
          <m:sub>
            <m:r>
              <m:t>C</m:t>
            </m:r>
            <m:r>
              <m:t>h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9</m:t>
            </m:r>
          </m:e>
        </m:d>
        <m:r>
          <m:rPr>
            <m:sty m:val="p"/>
          </m:rPr>
          <m:t>≈</m:t>
        </m:r>
        <m:r>
          <m:t>0.1172</m:t>
        </m:r>
      </m:oMath>
      <w:r>
        <w:t xml:space="preserve">;</w:t>
      </w:r>
      <w:r>
        <w:t xml:space="preserve"> </w:t>
      </w:r>
      <m:oMath>
        <m:sSub>
          <m:e>
            <m:r>
              <m:t>b</m:t>
            </m:r>
          </m:e>
          <m:sub>
            <m:r>
              <m:t>C</m:t>
            </m:r>
            <m:r>
              <m:t>h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11</m:t>
            </m:r>
          </m:e>
        </m:d>
        <m:r>
          <m:rPr>
            <m:sty m:val="p"/>
          </m:rPr>
          <m:t>≈</m:t>
        </m:r>
        <m:r>
          <m:t>0.0823</m:t>
        </m:r>
      </m:oMath>
      <w:r>
        <w:t xml:space="preserve">;</w:t>
      </w:r>
      <w:r>
        <w:t xml:space="preserve"> </w:t>
      </w:r>
      <m:oMath>
        <m:sSub>
          <m:e>
            <m:r>
              <m:t>b</m:t>
            </m:r>
          </m:e>
          <m:sub>
            <m:r>
              <m:t>C</m:t>
            </m:r>
            <m:r>
              <m:t>h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15</m:t>
            </m:r>
          </m:e>
        </m:d>
        <m:r>
          <m:rPr>
            <m:sty m:val="p"/>
          </m:rPr>
          <m:t>≈</m:t>
        </m:r>
        <m:r>
          <m:t>0.086454</m:t>
        </m:r>
      </m:oMath>
      <w:r>
        <w:t xml:space="preserve">;</w:t>
      </w:r>
      <w:r>
        <w:t xml:space="preserve"> </w:t>
      </w:r>
      <m:oMath>
        <m:sSub>
          <m:e>
            <m:r>
              <m:t>b</m:t>
            </m:r>
          </m:e>
          <m:sub>
            <m:r>
              <m:t>C</m:t>
            </m:r>
            <m:r>
              <m:t>h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30</m:t>
            </m:r>
          </m:e>
        </m:d>
        <m:r>
          <m:rPr>
            <m:sty m:val="p"/>
          </m:rPr>
          <m:t>≈</m:t>
        </m:r>
        <m:r>
          <m:t>0.021854</m:t>
        </m:r>
      </m:oMath>
      <w:r>
        <w:t xml:space="preserve">. The universal Tate twist</w:t>
      </w:r>
      <w:r>
        <w:t xml:space="preserve"> </w:t>
      </w:r>
      <m:oMath>
        <m:r>
          <m:t>4</m:t>
        </m:r>
        <m:sSup>
          <m:e>
            <m:r>
              <m:t>π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lives</w:t>
      </w:r>
      <w:r>
        <w:t xml:space="preserve"> </w:t>
      </w:r>
      <w:r>
        <w:t xml:space="preserve">in the lattice spectra (G1), not in the period normalization.</w:t>
      </w:r>
    </w:p>
    <w:p>
      <w:pPr>
        <w:pStyle w:val="BlockText"/>
      </w:pPr>
      <w:r>
        <w:rPr>
          <w:b/>
          <w:bCs/>
        </w:rPr>
        <w:t xml:space="preserve">Summary of results (summary).</w:t>
      </w:r>
      <w:r>
        <w:t xml:space="preserve"> </w:t>
      </w:r>
      <w:r>
        <w:t xml:space="preserve">The theorem fixes: the phase-lattice denominator equals the level</w:t>
      </w:r>
      <w:r>
        <w:t xml:space="preserve"> </w:t>
      </w:r>
      <m:oMath>
        <m:r>
          <m:t>N</m:t>
        </m:r>
      </m:oMath>
      <w:r>
        <w:t xml:space="preserve">; the transcendental part reduces to fractional</w:t>
      </w:r>
      <w:r>
        <w:t xml:space="preserve"> </w:t>
      </w:r>
      <m:oMath>
        <m:r>
          <m:t>π</m:t>
        </m:r>
      </m:oMath>
      <w:r>
        <w:t xml:space="preserve">; the</w:t>
      </w:r>
      <w:r>
        <w:t xml:space="preserve"> </w:t>
      </w:r>
      <w:r>
        <w:t xml:space="preserve">radical constants are written in closed form.</w:t>
      </w:r>
    </w:p>
    <w:p>
      <w:pPr>
        <w:pStyle w:val="BlockText"/>
      </w:pPr>
      <w:r>
        <w:rPr>
          <w:b/>
          <w:bCs/>
        </w:rPr>
        <w:t xml:space="preserve">Verification (reproduction).</w:t>
      </w:r>
      <w:r>
        <w:t xml:space="preserve"> </w:t>
      </w:r>
      <w:r>
        <w:rPr>
          <w:rStyle w:val="VerbatimChar"/>
        </w:rPr>
        <w:t xml:space="preserve">python3 laboratory.py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“</w:t>
      </w:r>
      <w:r>
        <w:t xml:space="preserve">Stand N=15/30</w:t>
      </w:r>
      <w:r>
        <w:t xml:space="preserve">”</w:t>
      </w:r>
      <w:r>
        <w:t xml:space="preserve">; Lean:</w:t>
      </w:r>
      <w:r>
        <w:t xml:space="preserve"> </w:t>
      </w:r>
      <w:r>
        <w:rPr>
          <w:rStyle w:val="VerbatimChar"/>
        </w:rPr>
        <w:t xml:space="preserve">bch_radicals</w:t>
      </w:r>
      <w:r>
        <w:t xml:space="preserve">; the plot</w:t>
      </w:r>
      <w:r>
        <w:t xml:space="preserve"> </w:t>
      </w:r>
      <w:r>
        <w:rPr>
          <w:rStyle w:val="VerbatimChar"/>
        </w:rPr>
        <w:t xml:space="preserve">fig_bch.png</w:t>
      </w:r>
      <w:r>
        <w:t xml:space="preserve">.</w:t>
      </w:r>
    </w:p>
    <w:p>
      <w:pPr>
        <w:pStyle w:val="FirstParagraph"/>
      </w:pPr>
      <w:r>
        <w:rPr>
          <w:i/>
          <w:color w:val="707070"/>
          <w:sz w:val="18"/>
        </w:rPr>
        <w:t xml:space="preserve"> </w:t>
      </w:r>
      <w:r>
        <w:rPr>
          <w:i/>
          <w:color w:val="707070"/>
          <w:sz w:val="18"/>
        </w:rPr>
        <w:t xml:space="preserve">License: individual exclusive license of Isaev Iskhak Khamzatovich.</w:t>
      </w:r>
      <w:r>
        <w:rPr>
          <w:i/>
          <w:color w:val="707070"/>
          <w:sz w:val="18"/>
        </w:rPr>
        <w:t xml:space="preserve"> </w:t>
      </w:r>
      <w:r>
        <w:rPr>
          <w:i/>
          <w:color w:val="707070"/>
          <w:sz w:val="18"/>
        </w:rPr>
        <w:t xml:space="preserve">All rights to the computations, formulas, and texts belong to the author.</w:t>
      </w:r>
      <w:r>
        <w:rPr>
          <w:i/>
          <w:color w:val="707070"/>
          <w:sz w:val="18"/>
        </w:rPr>
        <w:t xml:space="preserve"> </w:t>
      </w:r>
      <w:r>
        <w:rPr>
          <w:i/>
          <w:color w:val="707070"/>
          <w:sz w:val="18"/>
        </w:rPr>
        <w:t xml:space="preserve">Verification:</w:t>
      </w:r>
      <w:r>
        <w:rPr>
          <w:i/>
          <w:color w:val="707070"/>
          <w:sz w:val="18"/>
        </w:rPr>
        <w:t xml:space="preserve"> </w:t>
      </w:r>
      <w:r>
        <w:rPr>
          <w:rStyle w:val="VerbatimChar"/>
          <w:i/>
          <w:color w:val="707070"/>
          <w:sz w:val="18"/>
        </w:rPr>
        <w:t xml:space="preserve">python3 laboratory.py</w:t>
      </w:r>
      <w:r>
        <w:rPr>
          <w:i/>
          <w:color w:val="707070"/>
          <w:sz w:val="18"/>
        </w:rPr>
        <w:t xml:space="preserve"> </w:t>
      </w:r>
      <w:r>
        <w:rPr>
          <w:i/>
          <w:color w:val="707070"/>
          <w:sz w:val="18"/>
        </w:rPr>
        <w:t xml:space="preserve">(</w:t>
      </w:r>
      <w:r>
        <w:rPr>
          <w:i/>
          <w:color w:val="707070"/>
          <w:sz w:val="18"/>
        </w:rPr>
        <w:t xml:space="preserve">“</w:t>
      </w:r>
      <w:r>
        <w:rPr>
          <w:i/>
          <w:color w:val="707070"/>
          <w:sz w:val="18"/>
        </w:rPr>
        <w:t xml:space="preserve">Stands</w:t>
      </w:r>
      <w:r>
        <w:rPr>
          <w:i/>
          <w:color w:val="707070"/>
          <w:sz w:val="18"/>
        </w:rPr>
        <w:t xml:space="preserve">”</w:t>
      </w:r>
      <w:r>
        <w:rPr>
          <w:i/>
          <w:color w:val="707070"/>
          <w:sz w:val="18"/>
        </w:rPr>
        <w:t xml:space="preserve">/</w:t>
      </w:r>
      <w:r>
        <w:rPr>
          <w:i/>
          <w:color w:val="707070"/>
          <w:sz w:val="18"/>
        </w:rPr>
        <w:t xml:space="preserve">“</w:t>
      </w:r>
      <w:r>
        <w:rPr>
          <w:i/>
          <w:color w:val="707070"/>
          <w:sz w:val="18"/>
        </w:rPr>
        <w:t xml:space="preserve">Certificates</w:t>
      </w:r>
      <w:r>
        <w:rPr>
          <w:i/>
          <w:color w:val="707070"/>
          <w:sz w:val="18"/>
        </w:rPr>
        <w:t xml:space="preserve">”</w:t>
      </w:r>
      <w:r>
        <w:rPr>
          <w:i/>
          <w:color w:val="707070"/>
          <w:sz w:val="18"/>
        </w:rPr>
        <w:t xml:space="preserve">),</w:t>
      </w:r>
      <w:r>
        <w:rPr>
          <w:i/>
          <w:color w:val="707070"/>
          <w:sz w:val="18"/>
        </w:rPr>
        <w:t xml:space="preserve"> </w:t>
      </w:r>
      <w:r>
        <w:rPr>
          <w:i/>
          <w:color w:val="707070"/>
          <w:sz w:val="18"/>
        </w:rPr>
        <w:t xml:space="preserve">Lean:</w:t>
      </w:r>
      <w:r>
        <w:rPr>
          <w:i/>
          <w:color w:val="707070"/>
          <w:sz w:val="18"/>
        </w:rPr>
        <w:t xml:space="preserve"> </w:t>
      </w:r>
      <w:r>
        <w:rPr>
          <w:rStyle w:val="VerbatimChar"/>
          <w:i/>
          <w:color w:val="707070"/>
          <w:sz w:val="18"/>
        </w:rPr>
        <w:t xml:space="preserve">verification/lean/HodgeLaboratory.lean</w:t>
      </w:r>
      <w:r>
        <w:rPr>
          <w:i/>
          <w:color w:val="707070"/>
          <w:sz w:val="18"/>
        </w:rPr>
        <w:t xml:space="preserve">.</w:t>
      </w:r>
      <w:r>
        <w:rPr>
          <w:i/>
          <w:color w:val="707070"/>
          <w:sz w:val="18"/>
        </w:rPr>
        <w:t xml:space="preserve"> </w:t>
      </w:r>
    </w:p>
    <w:bookmarkEnd w:id="21"/>
    <w:sectPr>
      <w:pgMar w:bottom="1361" w:left="1361" w:right="1361" w:top="136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 w:line="312" w:lineRule="auto"/>
    </w:pPr>
    <w:rPr>
      <w:rFonts w:ascii="Times New Roman" w:cs="Times New Roman" w:eastAsia="Times New Roman" w:hAnsi="Times New Roman"/>
      <w:sz w:val="22"/>
    </w:rPr>
  </w:style>
  <w:style w:styleId="BodyText" w:type="paragraph">
    <w:name w:val="Body Text"/>
    <w:basedOn w:val="Normal"/>
    <w:link w:val="BodyTextChar"/>
    <w:qFormat/>
    <w:pPr>
      <w:spacing w:after="180" w:before="180" w:line="312" w:lineRule="auto"/>
      <w:jc w:val="both"/>
    </w:pPr>
    <w:rPr>
      <w:rFonts w:ascii="Times New Roman" w:cs="Times New Roman" w:eastAsia="Times New Roman" w:hAnsi="Times New Roman"/>
      <w:sz w:val="22"/>
    </w:rPr>
  </w:style>
  <w:style w:customStyle="1" w:styleId="FirstParagraph" w:type="paragraph">
    <w:name w:val="First Paragraph"/>
    <w:basedOn w:val="BodyText"/>
    <w:next w:val="BodyText"/>
    <w:qFormat/>
    <w:pPr>
      <w:spacing w:line="312" w:lineRule="auto"/>
      <w:jc w:val="both"/>
    </w:pPr>
    <w:rPr>
      <w:rFonts w:ascii="Times New Roman" w:cs="Times New Roman" w:eastAsia="Times New Roman" w:hAnsi="Times New Roman"/>
      <w:sz w:val="22"/>
    </w:rPr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pBdr>
        <w:left w:color="1F4E79" w:space="6" w:sz="18" w:val="single"/>
      </w:pBdr>
      <w:shd w:fill="F4F6F9" w:val="clear"/>
      <w:spacing w:after="160" w:before="160" w:line="300" w:lineRule="auto"/>
      <w:ind w:firstLine="0" w:left="255" w:right="85"/>
      <w:jc w:val="both"/>
    </w:pPr>
    <w:rPr>
      <w:rFonts w:ascii="Times New Roman" w:cs="Times New Roman" w:eastAsia="Times New Roman" w:hAnsi="Times New Roman"/>
      <w:sz w:val="21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  <w:jc w:val="center"/>
    </w:pPr>
    <w:rPr>
      <w:rFonts w:ascii="Times New Roman" w:cs="Times New Roman" w:eastAsia="Times New Roman" w:hAnsi="Times New Roman"/>
      <w:i/>
      <w:color w:val="555555"/>
      <w:sz w:val="19"/>
    </w:rPr>
  </w:style>
  <w:style w:customStyle="1" w:styleId="TableCaption" w:type="paragraph">
    <w:name w:val="Table Caption"/>
    <w:basedOn w:val="Caption"/>
    <w:pPr>
      <w:keepNext/>
      <w:jc w:val="center"/>
    </w:pPr>
    <w:rPr>
      <w:rFonts w:ascii="Times New Roman" w:cs="Times New Roman" w:eastAsia="Times New Roman" w:hAnsi="Times New Roman"/>
      <w:color w:val="555555"/>
      <w:sz w:val="19"/>
    </w:rPr>
  </w:style>
  <w:style w:customStyle="1" w:styleId="ImageCaption" w:type="paragraph">
    <w:name w:val="Image Caption"/>
    <w:basedOn w:val="Caption"/>
    <w:pPr>
      <w:jc w:val="center"/>
    </w:pPr>
    <w:rPr>
      <w:rFonts w:ascii="Times New Roman" w:cs="Times New Roman" w:eastAsia="Times New Roman" w:hAnsi="Times New Roman"/>
      <w:color w:val="555555"/>
      <w:sz w:val="19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Theorem 2: Gamma-Normalization and Fractional Pi</dc:title>
  <dc:creator>Isaev Iskhak Khamzatovich</dc:creator>
  <dc:language>en-US</dc:language>
  <cp:keywords>hodge-laboratory, theorem monograph, EN</cp:keywords>
  <dcterms:created xsi:type="dcterms:W3CDTF">2026-09-23T16:56:51Z</dcterms:created>
  <dcterms:modified xsi:type="dcterms:W3CDTF">2026-09-23T16:56:51Z</dcterms:modified>
  <dc:subject>Standalone theorem monograph 5/16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