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Теорема 2: Γ-нормировка и дробные доли π</w:t>
      </w:r>
    </w:p>
    <w:p>
      <w:pPr>
        <w:jc w:val="center"/>
      </w:pPr>
      <w:r>
        <w:rPr>
          <w:b w:val="0"/>
          <w:i w:val="0"/>
          <w:color w:val="404040"/>
          <w:sz w:val="26"/>
        </w:rPr>
        <w:t>алгебраичность нормированных периодов и радикальные константы</w:t>
      </w:r>
    </w:p>
    <w:p>
      <w:pPr>
        <w:jc w:val="center"/>
      </w:pPr>
      <w:r>
        <w:rPr>
          <w:b/>
          <w:i w:val="0"/>
          <w:color w:val="202020"/>
          <w:sz w:val="23"/>
        </w:rPr>
        <w:t>Исаев Исхак Хамзатович</w:t>
      </w:r>
    </w:p>
    <w:p>
      <w:pPr>
        <w:jc w:val="center"/>
      </w:pPr>
      <w:r>
        <w:rPr>
          <w:b w:val="0"/>
          <w:i w:val="0"/>
          <w:color w:val="666666"/>
          <w:sz w:val="19"/>
        </w:rPr>
        <w:t>Программа «Динамический принцип» — лаборатория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Отдельная монография теоремы · Монография 5/16</w:t>
      </w:r>
    </w:p>
    <w:bookmarkStart w:id="21" w:name="постановка"/>
    <w:p>
      <w:pPr>
        <w:pStyle w:val="Heading1"/>
      </w:pPr>
      <w:r>
        <w:t xml:space="preserve">Постановка</w:t>
      </w:r>
    </w:p>
    <w:p>
      <w:pPr>
        <w:pStyle w:val="FirstParagraph"/>
      </w:pPr>
      <m:oMath>
        <m:r>
          <m:t>Γ</m:t>
        </m:r>
      </m:oMath>
      <w:r>
        <w:t xml:space="preserve">-нормировка поглощает трансцендентный множитель каждого</w:t>
      </w:r>
      <w:r>
        <w:t xml:space="preserve"> </w:t>
      </w:r>
      <w:r>
        <w:t xml:space="preserve">периода, превращая нормированные периоды в алгебраические числа</w:t>
      </w:r>
      <w:r>
        <w:t xml:space="preserve"> </w:t>
      </w:r>
      <w:r>
        <w:t xml:space="preserve">фазовой решётки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. Требование программы —</w:t>
      </w:r>
      <w:r>
        <w:t xml:space="preserve"> </w:t>
      </w:r>
      <w:r>
        <w:t xml:space="preserve">дробные доли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вместо нормировок с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на стенде</w:t>
      </w:r>
      <w:r>
        <w:t xml:space="preserve"> </w:t>
      </w:r>
      <w:r>
        <w:t xml:space="preserve">выполняется структурно.</w:t>
      </w:r>
    </w:p>
    <w:p>
      <w:pPr>
        <w:pStyle w:val="BodyText"/>
      </w:pPr>
      <w:r>
        <w:rPr>
          <w:b/>
          <w:bCs/>
        </w:rPr>
        <w:t xml:space="preserve">Определение 1</w:t>
      </w:r>
      <w:r>
        <w:t xml:space="preserve"> </w:t>
      </w:r>
      <w:r>
        <w:t xml:space="preserve">(</w:t>
      </w:r>
      <m:oMath>
        <m:r>
          <m:t>Γ</m:t>
        </m:r>
      </m:oMath>
      <w:r>
        <w:t xml:space="preserve">-нормировка).</w:t>
      </w:r>
      <w:r>
        <w:t xml:space="preserve"> </w:t>
      </w:r>
      <w:r>
        <w:t xml:space="preserve"> </w:t>
      </w:r>
      <w:r>
        <w:t xml:space="preserve">Для периода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f>
          <m:fPr>
            <m:type m:val="bar"/>
          </m:fPr>
          <m:num>
            <m:sSub>
              <m:e>
                <m:r>
                  <m:t>Ω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sub>
            </m:sSub>
          </m:num>
          <m:den>
            <m:r>
              <m:t>N</m:t>
            </m:r>
          </m:den>
        </m:f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нормированный</w:t>
      </w:r>
      <w:r>
        <w:t xml:space="preserve"> </w:t>
      </w:r>
      <w:r>
        <w:t xml:space="preserve">период: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∈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.</w:t>
      </w:r>
    </w:p>
    <w:bookmarkStart w:id="20" w:name="th:norm"/>
    <w:p>
      <w:pPr>
        <w:pStyle w:val="BodyText"/>
      </w:pPr>
      <w:r>
        <w:rPr>
          <w:b/>
          <w:bCs/>
        </w:rPr>
        <w:t xml:space="preserve">Теорема 2</w:t>
      </w:r>
      <w:r>
        <w:t xml:space="preserve"> </w:t>
      </w:r>
      <w:r>
        <w:t xml:space="preserve">(</w:t>
      </w:r>
      <m:oMath>
        <m:r>
          <m:t>Γ</m:t>
        </m:r>
      </m:oMath>
      <w:r>
        <w:t xml:space="preserve">-нормировка и дробные доли</w:t>
      </w:r>
      <w:r>
        <w:t xml:space="preserve"> </w:t>
      </w:r>
      <m:oMath>
        <m:r>
          <m:t>π</m:t>
        </m:r>
      </m:oMath>
      <w:r>
        <w:t xml:space="preserve">).</w:t>
      </w:r>
      <w:r>
        <w:t xml:space="preserve"> </w:t>
      </w:r>
      <w:r>
        <w:t xml:space="preserve"> </w:t>
      </w:r>
      <w:r>
        <w:rPr>
          <w:i/>
          <w:iCs/>
        </w:rPr>
        <w:t xml:space="preserve">Пусть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15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}</m:t>
        </m:r>
      </m:oMath>
      <w:r>
        <w:rPr>
          <w:i/>
          <w:iCs/>
        </w:rPr>
        <w:t xml:space="preserve">. Тогда:</w:t>
      </w:r>
      <w:r>
        <w:rPr>
          <w:i/>
          <w:iCs/>
        </w:rPr>
        <w:t xml:space="preserve"> </w:t>
      </w:r>
      <w:r>
        <w:rPr>
          <w:i/>
          <w:iCs/>
        </w:rPr>
        <w:t xml:space="preserve">(1) алгебраичность: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∈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 фазовая</w:t>
      </w:r>
      <w:r>
        <w:rPr>
          <w:i/>
          <w:iCs/>
        </w:rPr>
        <w:t xml:space="preserve"> </w:t>
      </w:r>
      <w:r>
        <w:rPr>
          <w:i/>
          <w:iCs/>
        </w:rPr>
        <w:t xml:space="preserve">решётка имеет знаменатель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(2) редукция: каждое</w:t>
      </w:r>
      <w:r>
        <w:rPr>
          <w:i/>
          <w:iCs/>
        </w:rP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выражается через значения</w:t>
      </w:r>
      <w:r>
        <w:rPr>
          <w:i/>
          <w:iCs/>
        </w:rPr>
        <w:t xml:space="preserve"> </w:t>
      </w:r>
      <m:oMath>
        <m:r>
          <m:t>Γ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в канонических позициях и множители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i/>
          <w:iCs/>
        </w:rPr>
        <w:t xml:space="preserve">; при</w:t>
      </w:r>
      <w:r>
        <w:rPr>
          <w:i/>
          <w:iCs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чистая доля</w:t>
      </w:r>
      <w:r>
        <w:rPr>
          <w:i/>
          <w:iCs/>
        </w:rPr>
        <w:t xml:space="preserve"> </w:t>
      </w:r>
      <m:oMath>
        <m:r>
          <m:t>π</m:t>
        </m:r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(3) отсутствие</w:t>
      </w:r>
      <w:r>
        <w:rPr>
          <w:i/>
          <w:iCs/>
        </w:rP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: в замкнутой форме</w:t>
      </w:r>
      <w:r>
        <w:rPr>
          <w:i/>
          <w:iCs/>
        </w:rPr>
        <w:t xml:space="preserve"> </w:t>
      </w:r>
      <m:oMath>
        <m:r>
          <m:t>π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входит только через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и формулу умножения; никакая степень</w:t>
      </w:r>
      <w:r>
        <w:rPr>
          <w:i/>
          <w:iCs/>
        </w:rP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не</w:t>
      </w:r>
      <w:r>
        <w:rPr>
          <w:i/>
          <w:iCs/>
        </w:rPr>
        <w:t xml:space="preserve"> </w:t>
      </w:r>
      <w:r>
        <w:rPr>
          <w:i/>
          <w:iCs/>
        </w:rPr>
        <w:t xml:space="preserve">возникает в нормировке;</w:t>
      </w:r>
      <w:r>
        <w:rPr>
          <w:i/>
          <w:iCs/>
        </w:rPr>
        <w:t xml:space="preserve"> </w:t>
      </w:r>
      <w:r>
        <w:rPr>
          <w:i/>
          <w:iCs/>
        </w:rPr>
        <w:t xml:space="preserve">(4) радикальные константы: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b</m:t>
                    </m:r>
                  </m:e>
                  <m:sub>
                    <m:r>
                      <m:t>C</m:t>
                    </m:r>
                    <m:r>
                      <m:t>h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15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π</m:t>
                    </m:r>
                  </m:num>
                  <m:den>
                    <m:r>
                      <m:t>15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 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10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5</m:t>
                            </m:r>
                          </m:e>
                        </m:rad>
                      </m:e>
                    </m:rad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b</m:t>
                    </m:r>
                  </m:e>
                  <m:sub>
                    <m:r>
                      <m:t>C</m:t>
                    </m:r>
                    <m:r>
                      <m:t>h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30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15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5</m:t>
                            </m:r>
                          </m:e>
                        </m:rad>
                      </m:e>
                    </m:rad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(1) — следствие замкнутой формы периода: деление решётки</w:t>
      </w:r>
      <w:r>
        <w:t xml:space="preserve"> </w:t>
      </w:r>
      <m:oMath>
        <m:f>
          <m:fPr>
            <m:type m:val="bar"/>
          </m:fPr>
          <m:num>
            <m:r>
              <m:t>Ω</m:t>
            </m:r>
          </m:num>
          <m:den>
            <m:r>
              <m:t>N</m:t>
            </m:r>
          </m:den>
        </m:f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на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(2)–(3) — инвентарь соотношений: отражение вводит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только</w:t>
      </w:r>
      <w:r>
        <w:t xml:space="preserve"> </w:t>
      </w:r>
      <w:r>
        <w:t xml:space="preserve">как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, умножение — как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π</m:t>
                </m:r>
              </m:e>
            </m:d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при</w:t>
      </w:r>
      <w:r>
        <w:t xml:space="preserve"> </w:t>
      </w:r>
      <w:r>
        <w:t xml:space="preserve">целых</w:t>
      </w:r>
      <w:r>
        <w:t xml:space="preserve"> </w:t>
      </w:r>
      <m:oMath>
        <m:r>
          <m:t>m</m:t>
        </m:r>
      </m:oMath>
      <w:r>
        <w:t xml:space="preserve">; нормировка строится из самих периодов, а не спускается</w:t>
      </w:r>
      <w:r>
        <w:t xml:space="preserve"> </w:t>
      </w:r>
      <w:r>
        <w:t xml:space="preserve">из L-функций, поэтому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не порождается. (4):</w:t>
      </w:r>
      <w:r>
        <w:t xml:space="preserve"> </w:t>
      </w:r>
      <m:oMath>
        <m:r>
          <m:rPr>
            <m:sty m:val="p"/>
          </m:rPr>
          <m:t>cos</m:t>
        </m:r>
        <m:sSup>
          <m:e>
            <m:r>
              <m:t>24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36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t xml:space="preserve"> </w:t>
      </w:r>
      <w:r>
        <w:t xml:space="preserve">с</w:t>
      </w:r>
      <w:r>
        <w:t xml:space="preserve"> </w:t>
      </w:r>
      <m:oMath>
        <m:r>
          <m:rPr>
            <m:sty m:val="p"/>
          </m:rPr>
          <m:t>cos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t xml:space="preserve">даёт формулу для</w:t>
      </w:r>
      <w:r>
        <w:t xml:space="preserve"> </w:t>
      </w:r>
      <m:oMath>
        <m:r>
          <m:t>15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cos</m:t>
        </m:r>
        <m:sSup>
          <m:e>
            <m:r>
              <m:t>12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30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18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t xml:space="preserve"> </w:t>
      </w:r>
      <w:r>
        <w:t xml:space="preserve">с</w:t>
      </w:r>
      <w:r>
        <w:t xml:space="preserve"> </w:t>
      </w:r>
      <m:oMath>
        <m:r>
          <m:rPr>
            <m:sty m:val="p"/>
          </m:rPr>
          <m:t>cos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— для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Численно: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≈</m:t>
        </m:r>
        <m:r>
          <m:t>0.086454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  <m:r>
          <m:rPr>
            <m:sty m:val="p"/>
          </m:rPr>
          <m:t>≈</m:t>
        </m:r>
        <m:r>
          <m:t>0.021854</m:t>
        </m:r>
      </m:oMath>
      <w:r>
        <w:t xml:space="preserve">. ◻</w:t>
      </w:r>
    </w:p>
    <w:p>
      <w:pPr>
        <w:pStyle w:val="BodyText"/>
      </w:pPr>
      <w:r>
        <w:rPr>
          <w:i/>
          <w:iCs/>
        </w:rPr>
        <w:t xml:space="preserve">Замечание 3</w:t>
      </w:r>
      <w:r>
        <w:t xml:space="preserve">.</w:t>
      </w:r>
      <w:r>
        <w:t xml:space="preserve"> </w:t>
      </w:r>
      <w:r>
        <w:t xml:space="preserve"> </w:t>
      </w:r>
      <w:r>
        <w:t xml:space="preserve">Доля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всегда рациональна со знаменателем</w:t>
      </w:r>
      <w:r>
        <w:t xml:space="preserve"> </w:t>
      </w:r>
      <m:oMath>
        <m:r>
          <m:t>N</m:t>
        </m:r>
      </m:oMath>
      <w:r>
        <w:t xml:space="preserve">: множитель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 </w:t>
      </w:r>
      <w:r>
        <w:t xml:space="preserve">несёт угол</w:t>
      </w:r>
      <w:r>
        <w:t xml:space="preserve"> </w:t>
      </w:r>
      <m:oMath>
        <m:r>
          <m:t>k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; фазовая решётка несёт</w:t>
      </w:r>
      <w:r>
        <w:t xml:space="preserve"> </w:t>
      </w:r>
      <w:r>
        <w:t xml:space="preserve">знаменатель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в алгебре. Структурное утверждение — верно для</w:t>
      </w:r>
      <w:r>
        <w:t xml:space="preserve"> </w:t>
      </w:r>
      <w:r>
        <w:t xml:space="preserve">всех блоков сразу. Лестница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— ступени</w:t>
      </w:r>
      <w:r>
        <w:t xml:space="preserve"> </w:t>
      </w:r>
      <w:r>
        <w:t xml:space="preserve">одной лестницы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-квантов (сертификаты G, H).</w:t>
      </w:r>
    </w:p>
    <w:p>
      <w:pPr>
        <w:pStyle w:val="BlockText"/>
      </w:pPr>
      <w:r>
        <w:rPr>
          <w:b/>
          <w:bCs/>
        </w:rPr>
        <w:t xml:space="preserve">Данные протокола (числа).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7</m:t>
            </m:r>
          </m:e>
        </m:d>
        <m:r>
          <m:rPr>
            <m:sty m:val="p"/>
          </m:rPr>
          <m:t>≈</m:t>
        </m:r>
        <m:r>
          <m:t>0.7526</m:t>
        </m:r>
      </m:oMath>
      <w:r>
        <w:t xml:space="preserve">;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≈</m:t>
        </m:r>
        <m:r>
          <m:t>0.1172</m:t>
        </m:r>
      </m:oMath>
      <w:r>
        <w:t xml:space="preserve">;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11</m:t>
            </m:r>
          </m:e>
        </m:d>
        <m:r>
          <m:rPr>
            <m:sty m:val="p"/>
          </m:rPr>
          <m:t>≈</m:t>
        </m:r>
        <m:r>
          <m:t>0.0823</m:t>
        </m:r>
      </m:oMath>
      <w:r>
        <w:t xml:space="preserve">;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≈</m:t>
        </m:r>
        <m:r>
          <m:t>0.086454</m:t>
        </m:r>
      </m:oMath>
      <w:r>
        <w:t xml:space="preserve">;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  <m:r>
          <m:rPr>
            <m:sty m:val="p"/>
          </m:rPr>
          <m:t>≈</m:t>
        </m:r>
        <m:r>
          <m:t>0.021854</m:t>
        </m:r>
      </m:oMath>
      <w:r>
        <w:t xml:space="preserve">. Универсальный Tate-фактор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живёт в спектре решёток (G1), не в нормировке периодов.</w:t>
      </w:r>
    </w:p>
    <w:p>
      <w:pPr>
        <w:pStyle w:val="BlockText"/>
      </w:pPr>
      <w:r>
        <w:rPr>
          <w:b/>
          <w:bCs/>
        </w:rPr>
        <w:t xml:space="preserve">Сводка доказанного (итог).</w:t>
      </w:r>
      <w:r>
        <w:t xml:space="preserve"> </w:t>
      </w:r>
      <w:r>
        <w:t xml:space="preserve">Теорема фиксирует: знаменатель фазовой решётки равен уровню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трансцендентная часть редуцируется к дробным долям</w:t>
      </w:r>
      <w:r>
        <w:t xml:space="preserve"> </w:t>
      </w:r>
      <m:oMath>
        <m:r>
          <m:t>π</m:t>
        </m:r>
      </m:oMath>
      <w:r>
        <w:t xml:space="preserve">;</w:t>
      </w:r>
      <w:r>
        <w:t xml:space="preserve"> </w:t>
      </w:r>
      <w:r>
        <w:t xml:space="preserve">радикальные константы стенда выписаны в замкнутой форме.</w:t>
      </w:r>
    </w:p>
    <w:p>
      <w:pPr>
        <w:pStyle w:val="BlockText"/>
      </w:pPr>
      <w:r>
        <w:rPr>
          <w:b/>
          <w:bCs/>
        </w:rPr>
        <w:t xml:space="preserve">Верификация (как воспроизвести).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«Стенд N=15/30» (теорема 2</w:t>
      </w:r>
      <w:r>
        <w:t xml:space="preserve"> </w:t>
      </w:r>
      <w:r>
        <w:t xml:space="preserve">блока); Lean:</w:t>
      </w:r>
      <w:r>
        <w:t xml:space="preserve"> </w:t>
      </w:r>
      <w:r>
        <w:rPr>
          <w:rStyle w:val="VerbatimChar"/>
        </w:rPr>
        <w:t xml:space="preserve">bch_radicals</w:t>
      </w:r>
      <w:r>
        <w:t xml:space="preserve"> </w:t>
      </w:r>
      <w:r>
        <w:t xml:space="preserve">— сверка радикальных</w:t>
      </w:r>
      <w:r>
        <w:t xml:space="preserve"> </w:t>
      </w:r>
      <w:r>
        <w:t xml:space="preserve">выражений; диаграмма</w:t>
      </w:r>
      <w:r>
        <w:t xml:space="preserve"> </w:t>
      </w:r>
      <w:r>
        <w:rPr>
          <w:rStyle w:val="VerbatimChar"/>
        </w:rPr>
        <w:t xml:space="preserve">fig_bch.png</w:t>
      </w:r>
      <w:r>
        <w:t xml:space="preserve">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Лицензия: индивидуальная исключительная лицензия Исаева Исхака Хамзатовича.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Все права на вычисления, формулы и тексты принадлежат автору.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Верификация: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(пункт «Стенды»/«Сертификаты»),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1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Теорема 2: Γ-нормировка и дробные доли π</dc:title>
  <dc:creator>Исаев Исхак Хамзатович</dc:creator>
  <dc:language>ru-RU</dc:language>
  <cp:keywords>hodge-laboratory, theorem monograph, RU</cp:keywords>
  <dcterms:created xsi:type="dcterms:W3CDTF">2026-09-23T16:56:51Z</dcterms:created>
  <dcterms:modified xsi:type="dcterms:W3CDTF">2026-09-23T16:56:51Z</dcterms:modified>
  <dc:subject>Standalone theorem monograph 5/16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