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Theorem 3: Polarization and Hodge Lattice Indices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principal polarization and computability of block indices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6/16</w:t>
      </w:r>
    </w:p>
    <w:bookmarkStart w:id="22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intersection form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 not merely a</w:t>
      </w:r>
      <w:r>
        <w:t xml:space="preserve"> </w:t>
      </w:r>
      <w:r>
        <w:t xml:space="preserve">topological invariant: it is a polarization of the weight-1 Hodge</w:t>
      </w:r>
      <w:r>
        <w:t xml:space="preserve"> </w:t>
      </w:r>
      <w:r>
        <w:t xml:space="preserve">structure and defines the Hodge lattice indices per conductor</w:t>
      </w:r>
      <w:r>
        <w:t xml:space="preserve"> </w:t>
      </w:r>
      <w:r>
        <w:t xml:space="preserve">blocks — integer invariants computable algorithmically.</w:t>
      </w:r>
    </w:p>
    <w:p>
      <w:pPr>
        <w:pStyle w:val="BodyText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(polarization).</w:t>
      </w:r>
      <w:r>
        <w:t xml:space="preserve"> </w:t>
      </w:r>
      <w:r>
        <w:t xml:space="preserve"> </w:t>
      </w:r>
      <w:r>
        <w:t xml:space="preserve">For closed forms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α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r>
              <m:t>α</m:t>
            </m:r>
          </m:e>
        </m:nary>
        <m:r>
          <m:rPr>
            <m:sty m:val="p"/>
          </m:rPr>
          <m:t>∧</m:t>
        </m:r>
        <m:r>
          <m:t>β</m:t>
        </m:r>
      </m:oMath>
      <w:r>
        <w:t xml:space="preserve">; the polarization form on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 the intersection form</w:t>
      </w:r>
      <w:r>
        <w:t xml:space="preserve"> </w:t>
      </w:r>
      <m:oMath>
        <m:r>
          <m:t>E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J</m:t>
        </m:r>
      </m:oMath>
      <w:r>
        <w:t xml:space="preserve">.</w:t>
      </w:r>
    </w:p>
    <w:bookmarkStart w:id="20" w:name="th:pol"/>
    <w:p>
      <w:pPr>
        <w:pStyle w:val="BodyText"/>
      </w:pPr>
      <w:r>
        <w:rPr>
          <w:b/>
          <w:bCs/>
        </w:rPr>
        <w:t xml:space="preserve">Theorem 2</w:t>
      </w:r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is a weight-1 polarization).</w:t>
      </w:r>
      <w:r>
        <w:t xml:space="preserve"> </w:t>
      </w:r>
      <w:r>
        <w:t xml:space="preserve"> </w:t>
      </w:r>
      <w:r>
        <w:rPr>
          <w:i/>
          <w:iCs/>
        </w:rPr>
        <w:t xml:space="preserve">With respect to the Hodge decomposition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the Riemann–Hodge relations hold:</w:t>
      </w:r>
      <w:r>
        <w:rPr>
          <w:i/>
          <w:iCs/>
        </w:rPr>
        <w:t xml:space="preserve"> </w:t>
      </w:r>
      <w:r>
        <w:rPr>
          <w:i/>
          <w:iCs/>
        </w:rPr>
        <w:t xml:space="preserve">(1)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holomorphic forms;</w:t>
      </w:r>
      <w:r>
        <w:rPr>
          <w:i/>
          <w:iCs/>
        </w:rPr>
        <w:t xml:space="preserve"> </w:t>
      </w:r>
      <w:r>
        <w:rPr>
          <w:i/>
          <w:iCs/>
        </w:rPr>
        <w:t xml:space="preserve">(2)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Hence</w:t>
      </w:r>
      <w:r>
        <w:rPr>
          <w:i/>
          <w:iCs/>
        </w:rP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principally</w:t>
      </w:r>
      <w:r>
        <w:rPr>
          <w:i/>
          <w:iCs/>
        </w:rPr>
        <w:t xml:space="preserve"> </w:t>
      </w:r>
      <w:r>
        <w:rPr>
          <w:i/>
          <w:iCs/>
        </w:rPr>
        <w:t xml:space="preserve">polarized abelian variety.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A curve has no nonzero holomorphic 2-forms, so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the first Riemann relation read on the</w:t>
      </w:r>
      <w:r>
        <w:t xml:space="preserve"> </w:t>
      </w:r>
      <w:r>
        <w:t xml:space="preserve">bilinear identity. (ii)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. The unimodularity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gives the</w:t>
      </w:r>
      <w:r>
        <w:t xml:space="preserve"> </w:t>
      </w:r>
      <w:r>
        <w:t xml:space="preserve">principality. ◻</w:t>
      </w:r>
    </w:p>
    <w:p>
      <w:pPr>
        <w:pStyle w:val="BodyText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(block indices).</w:t>
      </w:r>
      <w:r>
        <w:t xml:space="preserve"> </w:t>
      </w:r>
      <w:r>
        <w:t xml:space="preserve"> </w:t>
      </w:r>
      <w:r>
        <w:t xml:space="preserve">For a conductor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: the block lattice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isotypic component of characters with conductor</w:t>
      </w:r>
      <w:r>
        <w:t xml:space="preserve"> </w:t>
      </w:r>
      <m:oMath>
        <m:r>
          <m:t>d</m:t>
        </m:r>
      </m:oMath>
      <w:r>
        <w:t xml:space="preserve">; the saturation</w:t>
      </w:r>
      <w:r>
        <w:t xml:space="preserve"> </w:t>
      </w:r>
      <m:oMath>
        <m:sSubSup>
          <m:e>
            <m:r>
              <m:t>Λ</m:t>
            </m:r>
          </m:e>
          <m:sub>
            <m:r>
              <m:t>d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; the block index</w:t>
      </w:r>
      <w:r>
        <w:t xml:space="preserve"> </w:t>
      </w:r>
      <m:oMath>
        <m:r>
          <m:rPr>
            <m:sty m:val="p"/>
          </m:rPr>
          <m:t>Index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Λ</m:t>
                </m:r>
              </m:e>
              <m:sub>
                <m:r>
                  <m:t>d</m:t>
                </m:r>
              </m:sub>
              <m:sup>
                <m:r>
                  <m:t>s</m:t>
                </m:r>
                <m:r>
                  <m:t>a</m:t>
                </m:r>
                <m:r>
                  <m:t>t</m:t>
                </m:r>
              </m:sup>
            </m:sSubSup>
            <m:r>
              <m:rPr>
                <m:sty m:val="p"/>
              </m:rPr>
              <m:t>: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. Block data: rank,</w:t>
      </w:r>
      <w:r>
        <w:t xml:space="preserve"> </w:t>
      </w:r>
      <w:r>
        <w:t xml:space="preserve">signature of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, determinant, index.</w:t>
      </w:r>
    </w:p>
    <w:bookmarkStart w:id="21" w:name="th:indcomp"/>
    <w:p>
      <w:pPr>
        <w:pStyle w:val="BodyText"/>
      </w:pPr>
      <w:r>
        <w:rPr>
          <w:b/>
          <w:bCs/>
        </w:rPr>
        <w:t xml:space="preserve">Theorem 4</w:t>
      </w:r>
      <w:r>
        <w:t xml:space="preserve"> </w:t>
      </w:r>
      <w:r>
        <w:t xml:space="preserve">(computability of the indices).</w:t>
      </w:r>
      <w:r>
        <w:t xml:space="preserve"> </w:t>
      </w:r>
      <w:r>
        <w:t xml:space="preserve"> </w:t>
      </w:r>
      <w:r>
        <w:rPr>
          <w:i/>
          <w:iCs/>
        </w:rPr>
        <w:t xml:space="preserve">All quantities are finite and computed algorithmically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closed forms: the saturation by Hermite–Smith reduction; the</w:t>
      </w:r>
      <w:r>
        <w:rPr>
          <w:i/>
          <w:iCs/>
        </w:rPr>
        <w:t xml:space="preserve"> </w:t>
      </w:r>
      <w:r>
        <w:rPr>
          <w:i/>
          <w:iCs/>
        </w:rPr>
        <w:t xml:space="preserve">signature and determinant from the combinatorial intersection</w:t>
      </w:r>
      <w:r>
        <w:rPr>
          <w:i/>
          <w:iCs/>
        </w:rPr>
        <w:t xml:space="preserve"> </w:t>
      </w:r>
      <w:r>
        <w:rPr>
          <w:i/>
          <w:iCs/>
        </w:rPr>
        <w:t xml:space="preserve">matrix filtered by characters; the index as a determinant ratio.</w:t>
      </w:r>
      <w:r>
        <w:rPr>
          <w:i/>
          <w:iCs/>
        </w:rPr>
        <w:t xml:space="preserve"> </w:t>
      </w:r>
      <w:r>
        <w:rPr>
          <w:i/>
          <w:iCs/>
        </w:rPr>
        <w:t xml:space="preserve">The counts per block: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);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Finiteness: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 free abelian of rank</w:t>
      </w:r>
      <w:r>
        <w:t xml:space="preserve"> </w:t>
      </w:r>
      <m:oMath>
        <m:r>
          <m:t>2</m:t>
        </m:r>
        <m:r>
          <m:t>g</m:t>
        </m:r>
      </m:oMath>
      <w:r>
        <w:t xml:space="preserve">.</w:t>
      </w:r>
      <w:r>
        <w:t xml:space="preserve"> </w:t>
      </w:r>
      <w:r>
        <w:t xml:space="preserve">Computability: the isotypic component is defined over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; its intersection with the integer lattice is an</w:t>
      </w:r>
      <w:r>
        <w:t xml:space="preserve"> </w:t>
      </w:r>
      <w:r>
        <w:t xml:space="preserve">integer sublattice; the saturation basis by the Hermite–Smith</w:t>
      </w:r>
      <w:r>
        <w:t xml:space="preserve"> </w:t>
      </w:r>
      <w:r>
        <w:t xml:space="preserve">algorithm on the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-action table (sheet</w:t>
      </w:r>
      <w:r>
        <w:t xml:space="preserve"> </w:t>
      </w:r>
      <w:r>
        <w:t xml:space="preserve">combinatorics). The restricted polarization: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t xml:space="preserve">, a combinatorial</w:t>
      </w:r>
      <w:r>
        <w:t xml:space="preserve"> </w:t>
      </w:r>
      <w:r>
        <w:t xml:space="preserve">matrix. The census sums match the genera (V1). ◻</w:t>
      </w:r>
    </w:p>
    <w:p>
      <w:pPr>
        <w:pStyle w:val="BlockText"/>
      </w:pPr>
      <w:r>
        <w:rPr>
          <w:b/>
          <w:bCs/>
        </w:rPr>
        <w:t xml:space="preserve">Protocol data (numbers — certificate H).</w:t>
      </w:r>
      <w:r>
        <w:t xml:space="preserve"> </w:t>
      </w:r>
      <w:r>
        <w:t xml:space="preserve">The stand polarization type (SNF):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; the</w:t>
      </w:r>
      <w:r>
        <w:t xml:space="preserve"> </w:t>
      </w:r>
      <w:r>
        <w:t xml:space="preserve">product of invariant factors</w:t>
      </w:r>
      <w:r>
        <w:t xml:space="preserve"> </w:t>
      </w:r>
      <m:oMath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</w:t>
      </w:r>
      <w:r>
        <w:t xml:space="preserve"> </w:t>
      </w:r>
      <w:r>
        <w:t xml:space="preserve">exact integer agreement with the discriminant;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polarization is proved (Riemann–Hodge); the computability is</w:t>
      </w:r>
      <w:r>
        <w:t xml:space="preserve"> </w:t>
      </w:r>
      <w:r>
        <w:t xml:space="preserve">proved algorithmically; certificate H implements the computation</w:t>
      </w:r>
      <w:r>
        <w:t xml:space="preserve"> </w:t>
      </w:r>
      <w:r>
        <w:t xml:space="preserve">with exact integer certification — the indices are not only</w:t>
      </w:r>
      <w:r>
        <w:t xml:space="preserve"> </w:t>
      </w:r>
      <w:r>
        <w:t xml:space="preserve">computable but computed.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H1</w:t>
      </w:r>
      <w:r>
        <w:t xml:space="preserve">”</w:t>
      </w:r>
      <w:r>
        <w:t xml:space="preserve">;</w:t>
      </w:r>
      <w:r>
        <w:t xml:space="preserve"> </w:t>
      </w:r>
      <w:r>
        <w:t xml:space="preserve">Lean:</w:t>
      </w:r>
      <w:r>
        <w:t xml:space="preserve"> </w:t>
      </w:r>
      <w:r>
        <w:rPr>
          <w:rStyle w:val="VerbatimChar"/>
        </w:rPr>
        <w:t xml:space="preserve">snf_product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stand_disc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3: Polarization and Hodge Lattice Indices</dc:title>
  <dc:creator>Isaev Iskhak Khamzatovich</dc:creator>
  <dc:language>en-US</dc:language>
  <cp:keywords>hodge-laboratory, theorem monograph, EN</cp:keywords>
  <dcterms:created xsi:type="dcterms:W3CDTF">2026-09-23T16:56:51Z</dcterms:created>
  <dcterms:modified xsi:type="dcterms:W3CDTF">2026-09-23T16:56:51Z</dcterms:modified>
  <dc:subject>Standalone theorem monograph 6/16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