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rPr>
          <w:b/>
          <w:i w:val="0"/>
          <w:color w:val="1F4E79"/>
          <w:sz w:val="40"/>
        </w:rPr>
        <w:t>Теорема 3: поляризация и индексы решётки Ходжа</w:t>
      </w:r>
    </w:p>
    <w:p>
      <w:pPr>
        <w:jc w:val="center"/>
      </w:pPr>
      <w:r>
        <w:rPr>
          <w:b w:val="0"/>
          <w:i w:val="0"/>
          <w:color w:val="404040"/>
          <w:sz w:val="26"/>
        </w:rPr>
        <w:t>главная поляризация и вычислимость индексов по блокам</w:t>
      </w:r>
    </w:p>
    <w:p>
      <w:pPr>
        <w:jc w:val="center"/>
      </w:pPr>
      <w:r>
        <w:rPr>
          <w:b/>
          <w:i w:val="0"/>
          <w:color w:val="202020"/>
          <w:sz w:val="23"/>
        </w:rPr>
        <w:t>Исаев Исхак Хамзатович</w:t>
      </w:r>
    </w:p>
    <w:p>
      <w:pPr>
        <w:jc w:val="center"/>
      </w:pPr>
      <w:r>
        <w:rPr>
          <w:b w:val="0"/>
          <w:i w:val="0"/>
          <w:color w:val="666666"/>
          <w:sz w:val="19"/>
        </w:rPr>
        <w:t>Программа «Динамический принцип» — лаборатория hodge-laboratory</w:t>
      </w:r>
    </w:p>
    <w:p>
      <w:pPr>
        <w:jc w:val="center"/>
      </w:pPr>
      <w:r>
        <w:rPr>
          <w:b w:val="0"/>
          <w:i w:val="0"/>
          <w:color w:val="666666"/>
          <w:sz w:val="19"/>
        </w:rPr>
        <w:t>Отдельная монография теоремы · Монография 6/16</w:t>
      </w:r>
    </w:p>
    <w:bookmarkStart w:id="22" w:name="постановка"/>
    <w:p>
      <w:pPr>
        <w:pStyle w:val="Heading1"/>
      </w:pPr>
      <w:r>
        <w:t xml:space="preserve">Постановка</w:t>
      </w:r>
    </w:p>
    <w:p>
      <w:pPr>
        <w:pStyle w:val="FirstParagraph"/>
      </w:pPr>
      <w:r>
        <w:t xml:space="preserve">Форма пересечений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на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Z</m:t>
            </m:r>
          </m:e>
        </m:d>
      </m:oMath>
      <w:r>
        <w:t xml:space="preserve"> </w:t>
      </w:r>
      <w:r>
        <w:t xml:space="preserve">— не просто топологический</w:t>
      </w:r>
      <w:r>
        <w:t xml:space="preserve"> </w:t>
      </w:r>
      <w:r>
        <w:t xml:space="preserve">инвариант: она является поляризацией структуры Ходжа веса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w:r>
        <w:t xml:space="preserve">позволяет определить индексы решётки Ходжа по блокам проводников —</w:t>
      </w:r>
      <w:r>
        <w:t xml:space="preserve"> </w:t>
      </w:r>
      <w:r>
        <w:t xml:space="preserve">целочисленные инварианты, вычислимые алгоритмически.</w:t>
      </w:r>
    </w:p>
    <w:p>
      <w:pPr>
        <w:pStyle w:val="BodyText"/>
      </w:pPr>
      <w:r>
        <w:rPr>
          <w:b/>
          <w:bCs/>
        </w:rPr>
        <w:t xml:space="preserve">Определение 1</w:t>
      </w:r>
      <w:r>
        <w:t xml:space="preserve"> </w:t>
      </w:r>
      <w:r>
        <w:t xml:space="preserve">(поляризация).</w:t>
      </w:r>
      <w:r>
        <w:t xml:space="preserve"> </w:t>
      </w:r>
      <w:r>
        <w:t xml:space="preserve"> </w:t>
      </w:r>
      <w:r>
        <w:t xml:space="preserve">Для замкнутых форм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d>
          <m:dPr>
            <m:begChr m:val="("/>
            <m:endChr m:val=")"/>
            <m:sepChr m:val=""/>
            <m:grow/>
          </m:dPr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α</m:t>
                </m:r>
              </m:e>
            </m:d>
            <m:r>
              <m:rPr>
                <m:sty m:val="p"/>
              </m:rPr>
              <m:t>,</m:t>
            </m:r>
            <m:d>
              <m:dPr>
                <m:begChr m:val="["/>
                <m:endChr m:val="]"/>
                <m:sepChr m:val=""/>
                <m:grow/>
              </m:dPr>
              <m:e>
                <m:r>
                  <m:t>β</m:t>
                </m:r>
              </m:e>
            </m:d>
          </m:e>
        </m:d>
        <m:r>
          <m:rPr>
            <m:sty m:val="p"/>
          </m:rPr>
          <m:t>=</m:t>
        </m:r>
        <m:nary>
          <m:naryPr>
            <m:chr m:val="∬"/>
            <m:limLoc m:val="subSup"/>
            <m:subHide m:val="off"/>
            <m:supHide m:val="on"/>
          </m:naryPr>
          <m:sub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r>
              <m:t>α</m:t>
            </m:r>
          </m:e>
        </m:nary>
        <m:r>
          <m:rPr>
            <m:sty m:val="p"/>
          </m:rPr>
          <m:t>∧</m:t>
        </m:r>
        <m:r>
          <m:t>β</m:t>
        </m:r>
      </m:oMath>
      <w:r>
        <w:t xml:space="preserve">; поляризационная форма на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Z</m:t>
            </m:r>
          </m:e>
        </m:d>
      </m:oMath>
      <w:r>
        <w:t xml:space="preserve"> </w:t>
      </w:r>
      <w:r>
        <w:t xml:space="preserve">— форма пересечений</w:t>
      </w:r>
      <w:r>
        <w:t xml:space="preserve"> </w:t>
      </w:r>
      <m:oMath>
        <m:r>
          <m:t>E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J</m:t>
        </m:r>
      </m:oMath>
      <w:r>
        <w:t xml:space="preserve">.</w:t>
      </w:r>
    </w:p>
    <w:bookmarkStart w:id="20" w:name="th:pol"/>
    <w:p>
      <w:pPr>
        <w:pStyle w:val="BodyText"/>
      </w:pPr>
      <w:r>
        <w:rPr>
          <w:b/>
          <w:bCs/>
        </w:rPr>
        <w:t xml:space="preserve">Теорема 2</w:t>
      </w:r>
      <w:r>
        <w:t xml:space="preserve"> </w:t>
      </w:r>
      <w:r>
        <w:t xml:space="preserve">(</w:t>
      </w:r>
      <m:oMath>
        <m:r>
          <m:t>J</m:t>
        </m:r>
      </m:oMath>
      <w:r>
        <w:t xml:space="preserve"> </w:t>
      </w:r>
      <w:r>
        <w:t xml:space="preserve">— поляризация веса 1).</w:t>
      </w:r>
      <w:r>
        <w:t xml:space="preserve"> </w:t>
      </w:r>
      <w:r>
        <w:t xml:space="preserve"> </w:t>
      </w:r>
      <w:r>
        <w:rPr>
          <w:i/>
          <w:iCs/>
        </w:rPr>
        <w:t xml:space="preserve">Относительно разложения Ходжа</w:t>
      </w:r>
      <w:r>
        <w:rPr>
          <w:i/>
          <w:iCs/>
        </w:rPr>
        <w:t xml:space="preserve"> </w:t>
      </w:r>
      <m:oMath>
        <m:sSup>
          <m:e>
            <m:r>
              <m:t>H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H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⊕</m:t>
        </m:r>
        <m:sSup>
          <m:e>
            <m:r>
              <m:t>H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выполнены соотношения Римана–Ходжа:</w:t>
      </w:r>
      <w:r>
        <w:rPr>
          <w:i/>
          <w:iCs/>
        </w:rPr>
        <w:t xml:space="preserve"> </w:t>
      </w:r>
      <w:r>
        <w:rPr>
          <w:i/>
          <w:iCs/>
        </w:rPr>
        <w:t xml:space="preserve">(1)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ω</m:t>
            </m:r>
            <m:r>
              <m:rPr>
                <m:sty m:val="p"/>
              </m:rPr>
              <m:t>,</m:t>
            </m:r>
            <m:r>
              <m:t>ω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для голоморфных форм;</w:t>
      </w:r>
      <w:r>
        <w:rPr>
          <w:i/>
          <w:iCs/>
        </w:rPr>
        <w:t xml:space="preserve"> </w:t>
      </w:r>
      <w:r>
        <w:rPr>
          <w:i/>
          <w:iCs/>
        </w:rPr>
        <w:t xml:space="preserve">(2)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i</m:t>
            </m:r>
          </m:den>
        </m:f>
        <m:acc>
          <m:accPr>
            <m:chr m:val="̃"/>
          </m:accPr>
          <m:e>
            <m:r>
              <m:t>E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ω</m:t>
            </m:r>
            <m:r>
              <m:rPr>
                <m:sty m:val="p"/>
              </m:rPr>
              <m:t>,</m:t>
            </m:r>
            <m:bar>
              <m:barPr>
                <m:pos m:val="top"/>
              </m:barPr>
              <m:e>
                <m:r>
                  <m:t>ω</m:t>
                </m:r>
              </m:e>
            </m:bar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p>
              <m:e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g</m:t>
                    </m:r>
                  </m:e>
                </m:d>
              </m:e>
              <m:sup>
                <m:r>
                  <m:t>2</m:t>
                </m:r>
              </m:sup>
            </m:sSup>
          </m:e>
        </m:nary>
        <m:r>
          <m:t>d</m:t>
        </m:r>
        <m:r>
          <m:t>x</m:t>
        </m:r>
        <m:r>
          <m:t>d</m:t>
        </m:r>
        <m:r>
          <m:t>y</m:t>
        </m:r>
        <m:r>
          <m:rPr>
            <m:sty m:val="p"/>
          </m:rPr>
          <m:t>&gt;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для</w:t>
      </w:r>
      <w:r>
        <w:rPr>
          <w:i/>
          <w:iCs/>
        </w:rPr>
        <w:t xml:space="preserve"> </w:t>
      </w:r>
      <m:oMath>
        <m:r>
          <m:t>0</m:t>
        </m:r>
        <m:r>
          <m:rPr>
            <m:sty m:val="p"/>
          </m:rPr>
          <m:t>≠</m:t>
        </m:r>
        <m:r>
          <m:t>ω</m:t>
        </m:r>
        <m:r>
          <m:rPr>
            <m:sty m:val="p"/>
          </m:rPr>
          <m:t>=</m:t>
        </m:r>
        <m:r>
          <m:t>g</m:t>
        </m:r>
        <m:r>
          <m:t> </m:t>
        </m:r>
        <m:r>
          <m:t>d</m:t>
        </m:r>
        <m:r>
          <m:t>z</m:t>
        </m:r>
      </m:oMath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Следовательно,</w:t>
      </w:r>
      <w:r>
        <w:rPr>
          <w:i/>
          <w:iCs/>
        </w:rPr>
        <w:t xml:space="preserve"> </w:t>
      </w:r>
      <m:oMath>
        <m:r>
          <m:rPr>
            <m:sty m:val="p"/>
          </m:rPr>
          <m:t>Jac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sSup>
          <m:e>
            <m:r>
              <m:t>H</m:t>
            </m:r>
          </m:e>
          <m:sup>
            <m:r>
              <m:t>1</m:t>
            </m:r>
          </m:sup>
        </m:sSup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с поляризацией</w:t>
      </w:r>
      <w:r>
        <w:rPr>
          <w:i/>
          <w:iCs/>
        </w:rPr>
        <w:t xml:space="preserve"> </w:t>
      </w:r>
      <m:oMath>
        <m:r>
          <m:t>J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Cs/>
        </w:rPr>
        <w:t xml:space="preserve">главное поляризованное абелево многообразие.</w:t>
      </w:r>
    </w:p>
    <w:bookmarkEnd w:id="20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(i) На кривой нет ненулевых голоморфных 2-форм:</w:t>
      </w:r>
      <w:r>
        <w:t xml:space="preserve"> </w:t>
      </w:r>
      <m:oMath>
        <m:sSubSup>
          <m:e>
            <m:r>
              <m:t>Ω</m:t>
            </m:r>
          </m:e>
          <m:sub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 поэтому</w:t>
      </w:r>
      <w:r>
        <w:t xml:space="preserve"> </w:t>
      </w:r>
      <m:oMath>
        <m:r>
          <m:t>ω</m:t>
        </m:r>
        <m:r>
          <m:rPr>
            <m:sty m:val="p"/>
          </m:rPr>
          <m:t>∧</m:t>
        </m:r>
        <m:r>
          <m:t>ω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— это первое</w:t>
      </w:r>
      <w:r>
        <w:t xml:space="preserve"> </w:t>
      </w:r>
      <w:r>
        <w:t xml:space="preserve">соотношение Римана, прочитанное на билинейном тождестве.</w:t>
      </w:r>
      <w:r>
        <w:t xml:space="preserve"> </w:t>
      </w:r>
      <w:r>
        <w:t xml:space="preserve">(ii)</w:t>
      </w:r>
      <w:r>
        <w:t xml:space="preserve"> </w:t>
      </w:r>
      <m:oMath>
        <m:r>
          <m:t>ω</m:t>
        </m:r>
        <m:r>
          <m:rPr>
            <m:sty m:val="p"/>
          </m:rPr>
          <m:t>∧</m:t>
        </m:r>
        <m:bar>
          <m:barPr>
            <m:pos m:val="top"/>
          </m:barPr>
          <m:e>
            <m:r>
              <m:t>ω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i</m:t>
        </m:r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g</m:t>
                </m:r>
              </m:e>
            </m:d>
          </m:e>
          <m:sup>
            <m:r>
              <m:t>2</m:t>
            </m:r>
          </m:sup>
        </m:sSup>
        <m:r>
          <m:t>d</m:t>
        </m:r>
        <m:r>
          <m:t>x</m:t>
        </m:r>
        <m:r>
          <m:rPr>
            <m:sty m:val="p"/>
          </m:rPr>
          <m:t>∧</m:t>
        </m:r>
        <m:r>
          <m:t>d</m:t>
        </m:r>
        <m:r>
          <m:t>y</m:t>
        </m:r>
      </m:oMath>
      <w:r>
        <w:t xml:space="preserve">, откуда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i</m:t>
            </m:r>
          </m:den>
        </m:f>
        <m:acc>
          <m:accPr>
            <m:chr m:val="̃"/>
          </m:accPr>
          <m:e>
            <m:r>
              <m:t>E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ω</m:t>
            </m:r>
            <m:r>
              <m:rPr>
                <m:sty m:val="p"/>
              </m:rPr>
              <m:t>,</m:t>
            </m:r>
            <m:bar>
              <m:barPr>
                <m:pos m:val="top"/>
              </m:barPr>
              <m:e>
                <m:r>
                  <m:t>ω</m:t>
                </m:r>
              </m:e>
            </m:bar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p>
              <m:e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g</m:t>
                    </m:r>
                  </m:e>
                </m:d>
              </m:e>
              <m:sup>
                <m:r>
                  <m:t>2</m:t>
                </m:r>
              </m:sup>
            </m:sSup>
          </m:e>
        </m:nary>
        <m:r>
          <m:t>d</m:t>
        </m:r>
        <m:r>
          <m:t>x</m:t>
        </m:r>
        <m:r>
          <m:t>d</m:t>
        </m:r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ω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Унимодулярность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(симплектический базис) даёт главность</w:t>
      </w:r>
      <w:r>
        <w:t xml:space="preserve"> </w:t>
      </w:r>
      <w:r>
        <w:t xml:space="preserve">поляризации. ◻</w:t>
      </w:r>
    </w:p>
    <w:p>
      <w:pPr>
        <w:pStyle w:val="BodyText"/>
      </w:pPr>
      <w:r>
        <w:rPr>
          <w:b/>
          <w:bCs/>
        </w:rPr>
        <w:t xml:space="preserve">Определение 3</w:t>
      </w:r>
      <w:r>
        <w:t xml:space="preserve"> </w:t>
      </w:r>
      <w:r>
        <w:t xml:space="preserve">(индексы по блокам).</w:t>
      </w:r>
      <w:r>
        <w:t xml:space="preserve"> </w:t>
      </w:r>
      <w:r>
        <w:t xml:space="preserve"> </w:t>
      </w:r>
      <w:r>
        <w:t xml:space="preserve">По проводнику</w:t>
      </w:r>
      <w:r>
        <w:t xml:space="preserve"> </w:t>
      </w:r>
      <m:oMath>
        <m:r>
          <m:t>d</m:t>
        </m:r>
        <m:r>
          <m:rPr>
            <m:sty m:val="p"/>
          </m:rPr>
          <m:t>∣</m:t>
        </m:r>
        <m:r>
          <m:t>N</m:t>
        </m:r>
      </m:oMath>
      <w:r>
        <w:t xml:space="preserve">: решётка блока</w:t>
      </w:r>
      <w:r>
        <w:t xml:space="preserve"> </w:t>
      </w:r>
      <m:oMath>
        <m:sSub>
          <m:e>
            <m:r>
              <m:t>Λ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— изотипная компонента характеров с проводником</w:t>
      </w:r>
      <w:r>
        <w:t xml:space="preserve"> </w:t>
      </w:r>
      <m:oMath>
        <m:r>
          <m:t>d</m:t>
        </m:r>
      </m:oMath>
      <w:r>
        <w:t xml:space="preserve">;</w:t>
      </w:r>
      <w:r>
        <w:t xml:space="preserve"> </w:t>
      </w:r>
      <w:r>
        <w:t xml:space="preserve">насыщение</w:t>
      </w:r>
      <w:r>
        <w:t xml:space="preserve"> </w:t>
      </w:r>
      <m:oMath>
        <m:sSubSup>
          <m:e>
            <m:r>
              <m:t>Λ</m:t>
            </m:r>
          </m:e>
          <m:sub>
            <m:r>
              <m:t>d</m:t>
            </m:r>
          </m:sub>
          <m:sup>
            <m:r>
              <m:t>s</m:t>
            </m:r>
            <m:r>
              <m:t>a</m:t>
            </m:r>
            <m:r>
              <m:t>t</m:t>
            </m:r>
          </m:sup>
        </m:sSubSup>
      </m:oMath>
      <w:r>
        <w:t xml:space="preserve">; индекс блока</w:t>
      </w:r>
      <w:r>
        <w:t xml:space="preserve"> </w:t>
      </w:r>
      <m:oMath>
        <m:r>
          <m:rPr>
            <m:sty m:val="p"/>
          </m:rPr>
          <m:t>Index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Λ</m:t>
                </m:r>
              </m:e>
              <m:sub>
                <m:r>
                  <m:t>d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sSubSup>
              <m:e>
                <m:r>
                  <m:t>Λ</m:t>
                </m:r>
              </m:e>
              <m:sub>
                <m:r>
                  <m:t>d</m:t>
                </m:r>
              </m:sub>
              <m:sup>
                <m:r>
                  <m:t>s</m:t>
                </m:r>
                <m:r>
                  <m:t>a</m:t>
                </m:r>
                <m:r>
                  <m:t>t</m:t>
                </m:r>
              </m:sup>
            </m:sSubSup>
            <m:r>
              <m:rPr>
                <m:sty m:val="p"/>
              </m:rPr>
              <m:t>:</m:t>
            </m:r>
            <m:sSub>
              <m:e>
                <m:r>
                  <m:t>Λ</m:t>
                </m:r>
              </m:e>
              <m:sub>
                <m:r>
                  <m:t>d</m:t>
                </m:r>
              </m:sub>
            </m:sSub>
          </m:e>
        </m:d>
      </m:oMath>
      <w:r>
        <w:t xml:space="preserve">. Данные блока: ранг,</w:t>
      </w:r>
      <w:r>
        <w:t xml:space="preserve"> </w:t>
      </w:r>
      <w:r>
        <w:t xml:space="preserve">сигнатура</w:t>
      </w:r>
      <w:r>
        <w:t xml:space="preserve"> </w:t>
      </w:r>
      <m:oMath>
        <m:r>
          <m:t>E</m:t>
        </m:r>
        <m:sSub>
          <m:e>
            <m:r>
              <m:rPr>
                <m:sty m:val="p"/>
              </m:rPr>
              <m:t>|</m:t>
            </m:r>
          </m:e>
          <m:sub>
            <m:sSub>
              <m:e>
                <m:r>
                  <m:t>Λ</m:t>
                </m:r>
              </m:e>
              <m:sub>
                <m:r>
                  <m:t>d</m:t>
                </m:r>
              </m:sub>
            </m:sSub>
          </m:sub>
        </m:sSub>
      </m:oMath>
      <w:r>
        <w:t xml:space="preserve">, определитель, индекс.</w:t>
      </w:r>
    </w:p>
    <w:bookmarkStart w:id="21" w:name="th:indcomp"/>
    <w:p>
      <w:pPr>
        <w:pStyle w:val="BodyText"/>
      </w:pPr>
      <w:r>
        <w:rPr>
          <w:b/>
          <w:bCs/>
        </w:rPr>
        <w:t xml:space="preserve">Теорема 4</w:t>
      </w:r>
      <w:r>
        <w:t xml:space="preserve"> </w:t>
      </w:r>
      <w:r>
        <w:t xml:space="preserve">(вычислимость индексов).</w:t>
      </w:r>
      <w:r>
        <w:t xml:space="preserve"> </w:t>
      </w:r>
      <w:r>
        <w:t xml:space="preserve"> </w:t>
      </w:r>
      <w:r>
        <w:rPr>
          <w:i/>
          <w:iCs/>
        </w:rPr>
        <w:t xml:space="preserve">Все величины конечны и вычисляются алгоритмически из замкнутых форм:</w:t>
      </w:r>
      <w:r>
        <w:rPr>
          <w:i/>
          <w:iCs/>
        </w:rPr>
        <w:t xml:space="preserve"> </w:t>
      </w:r>
      <w:r>
        <w:rPr>
          <w:i/>
          <w:iCs/>
        </w:rPr>
        <w:t xml:space="preserve">насыщение — приведением Эрмита–Смита; сигнатура и определитель —</w:t>
      </w:r>
      <w:r>
        <w:rPr>
          <w:i/>
          <w:iCs/>
        </w:rPr>
        <w:t xml:space="preserve"> </w:t>
      </w:r>
      <w:r>
        <w:rPr>
          <w:i/>
          <w:iCs/>
        </w:rPr>
        <w:t xml:space="preserve">из комбинаторной матрицы пересечений с фильтрацией по характерам;</w:t>
      </w:r>
      <w:r>
        <w:rPr>
          <w:i/>
          <w:iCs/>
        </w:rPr>
        <w:t xml:space="preserve"> </w:t>
      </w:r>
      <w:r>
        <w:rPr>
          <w:i/>
          <w:iCs/>
        </w:rPr>
        <w:t xml:space="preserve">индекс — отношение определителей. Число собственных форм по блокам</w:t>
      </w:r>
      <w:r>
        <w:rPr>
          <w:i/>
          <w:iCs/>
        </w:rPr>
        <w:t xml:space="preserve"> </w:t>
      </w:r>
      <w:r>
        <w:rPr>
          <w:i/>
          <w:iCs/>
        </w:rPr>
        <w:t xml:space="preserve">даёт перепись</w:t>
      </w:r>
      <w:r>
        <w:rPr>
          <w:i/>
          <w:iCs/>
        </w:rP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</m:oMath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m:oMath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84</m:t>
        </m:r>
        <m:r>
          <m:rPr>
            <m:sty m:val="p"/>
          </m:rPr>
          <m:t>=</m:t>
        </m:r>
        <m:r>
          <m:t>91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rPr>
          <w:i/>
          <w:iCs/>
        </w:rPr>
        <w:t xml:space="preserve">);</w:t>
      </w:r>
      <w:r>
        <w:rPr>
          <w:i/>
          <w:iCs/>
        </w:rPr>
        <w:t xml:space="preserve"> </w:t>
      </w:r>
      <m:oMath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30</m:t>
        </m:r>
        <m:r>
          <m:rPr>
            <m:sty m:val="p"/>
          </m:rPr>
          <m:t>+</m:t>
        </m:r>
        <m:r>
          <m:t>84</m:t>
        </m:r>
        <m:r>
          <m:rPr>
            <m:sty m:val="p"/>
          </m:rPr>
          <m:t>+</m:t>
        </m:r>
        <m:r>
          <m:t>276</m:t>
        </m:r>
        <m:r>
          <m:rPr>
            <m:sty m:val="p"/>
          </m:rPr>
          <m:t>=</m:t>
        </m:r>
        <m:r>
          <m:t>406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rPr>
          <w:i/>
          <w:iCs/>
        </w:rPr>
        <w:t xml:space="preserve">).</w:t>
      </w:r>
    </w:p>
    <w:bookmarkEnd w:id="21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Конечность: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Z</m:t>
            </m:r>
          </m:e>
        </m:d>
      </m:oMath>
      <w:r>
        <w:t xml:space="preserve"> </w:t>
      </w:r>
      <w:r>
        <w:t xml:space="preserve">— свободная абелева группа ранга</w:t>
      </w:r>
      <w:r>
        <w:t xml:space="preserve"> </w:t>
      </w:r>
      <m:oMath>
        <m:r>
          <m:t>2</m:t>
        </m:r>
        <m:r>
          <m:t>g</m:t>
        </m:r>
      </m:oMath>
      <w:r>
        <w:t xml:space="preserve">.</w:t>
      </w:r>
      <w:r>
        <w:t xml:space="preserve"> </w:t>
      </w:r>
      <w:r>
        <w:t xml:space="preserve">Вычислимость: изотипная компонента определена над</w:t>
      </w:r>
      <w: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;</w:t>
      </w:r>
      <w:r>
        <w:t xml:space="preserve"> </w:t>
      </w:r>
      <w:r>
        <w:t xml:space="preserve">её пересечение с целочисленной решёткой — целочисленная</w:t>
      </w:r>
      <w:r>
        <w:t xml:space="preserve"> </w:t>
      </w:r>
      <w:r>
        <w:t xml:space="preserve">подрешётка; базис насыщения — алгоритм Эрмита–Смита по таблице</w:t>
      </w:r>
      <w:r>
        <w:t xml:space="preserve"> </w:t>
      </w:r>
      <w:r>
        <w:t xml:space="preserve">действия</w:t>
      </w:r>
      <w:r>
        <w:t xml:space="preserve"> </w:t>
      </w:r>
      <m:oMath>
        <m:sSub>
          <m:e>
            <m:r>
              <m:t>μ</m:t>
            </m:r>
          </m:e>
          <m:sub>
            <m:r>
              <m:t>N</m:t>
            </m:r>
          </m:sub>
        </m:sSub>
        <m:r>
          <m:rPr>
            <m:sty m:val="p"/>
          </m:rPr>
          <m:t>×</m:t>
        </m:r>
        <m:sSub>
          <m:e>
            <m:r>
              <m:t>μ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(комбинаторика листов). Ограничение</w:t>
      </w:r>
      <w:r>
        <w:t xml:space="preserve"> </w:t>
      </w:r>
      <w:r>
        <w:t xml:space="preserve">поляризации: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J</m:t>
        </m:r>
      </m:oMath>
      <w:r>
        <w:t xml:space="preserve">, матрица комбинаторна. Перепись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приложение монографии; суммы совпадают с родом (V1). ◻</w:t>
      </w:r>
    </w:p>
    <w:p>
      <w:pPr>
        <w:pStyle w:val="BlockText"/>
      </w:pPr>
      <w:r>
        <w:rPr>
          <w:b/>
          <w:bCs/>
        </w:rPr>
        <w:t xml:space="preserve">Данные протокола (числа — сертификат H).</w:t>
      </w:r>
      <w:r>
        <w:t xml:space="preserve"> </w:t>
      </w:r>
      <w:r>
        <w:t xml:space="preserve">Тип поляризации стенда (SNF):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</m:e>
        </m:d>
      </m:oMath>
      <w:r>
        <w:t xml:space="preserve">;</w:t>
      </w:r>
      <w:r>
        <w:t xml:space="preserve"> </w:t>
      </w:r>
      <w:r>
        <w:t xml:space="preserve">произведение инвариантных множителей</w:t>
      </w:r>
      <w:r>
        <w:t xml:space="preserve"> </w:t>
      </w:r>
      <m:oMath>
        <m:r>
          <m:rPr>
            <m:sty m:val="p"/>
          </m:rPr>
          <m:t>=</m:t>
        </m:r>
        <m:r>
          <m:t>1265625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4</m:t>
            </m:r>
          </m:sup>
        </m:sSup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6</m:t>
            </m:r>
          </m:sup>
        </m:sSup>
        <m:r>
          <m:rPr>
            <m:sty m:val="p"/>
          </m:rPr>
          <m:t>=</m:t>
        </m:r>
        <m:sSup>
          <m:e>
            <m:r>
              <m:t>1125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— целочисленное согласование с дискриминантом;</w:t>
      </w:r>
      <w:r>
        <w:t xml:space="preserve"> </w:t>
      </w:r>
      <m:oMath>
        <m:sSub>
          <m:e>
            <m:r>
              <m:rPr>
                <m:sty m:val="p"/>
              </m:rPr>
              <m:t>v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1125</m:t>
        </m:r>
      </m:oMath>
      <w:r>
        <w:t xml:space="preserve">.</w:t>
      </w:r>
    </w:p>
    <w:p>
      <w:pPr>
        <w:pStyle w:val="BlockText"/>
      </w:pPr>
      <w:r>
        <w:rPr>
          <w:b/>
          <w:bCs/>
        </w:rPr>
        <w:t xml:space="preserve">Сводка доказанного (итог).</w:t>
      </w:r>
      <w:r>
        <w:t xml:space="preserve"> </w:t>
      </w:r>
      <w:r>
        <w:t xml:space="preserve">Поляризация доказана (Римана–Ходжа); вычислимость индексов</w:t>
      </w:r>
      <w:r>
        <w:t xml:space="preserve"> </w:t>
      </w:r>
      <w:r>
        <w:t xml:space="preserve">доказана алгоритмически; сертификат H реализует вычисление с точной</w:t>
      </w:r>
      <w:r>
        <w:t xml:space="preserve"> </w:t>
      </w:r>
      <w:r>
        <w:t xml:space="preserve">целочисленной сертификацией — индексы не только вычислимы, но и</w:t>
      </w:r>
      <w:r>
        <w:t xml:space="preserve"> </w:t>
      </w:r>
      <w:r>
        <w:t xml:space="preserve">вычислены.</w:t>
      </w:r>
    </w:p>
    <w:p>
      <w:pPr>
        <w:pStyle w:val="BlockText"/>
      </w:pPr>
      <w:r>
        <w:rPr>
          <w:b/>
          <w:bCs/>
        </w:rPr>
        <w:t xml:space="preserve">Верификация (как воспроизвести).</w:t>
      </w:r>
      <w:r>
        <w:t xml:space="preserve"> </w:t>
      </w:r>
      <w:r>
        <w:rPr>
          <w:rStyle w:val="VerbatimChar"/>
        </w:rPr>
        <w:t xml:space="preserve">python3 laboratory.py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«Сертификаты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H1»;</w:t>
      </w:r>
      <w:r>
        <w:t xml:space="preserve"> </w:t>
      </w:r>
      <w:r>
        <w:t xml:space="preserve">Lean:</w:t>
      </w:r>
      <w:r>
        <w:t xml:space="preserve"> </w:t>
      </w:r>
      <w:r>
        <w:rPr>
          <w:rStyle w:val="VerbatimChar"/>
        </w:rPr>
        <w:t xml:space="preserve">snf_product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stand_disc</w:t>
      </w:r>
      <w:r>
        <w:t xml:space="preserve"> </w:t>
      </w:r>
      <w:r>
        <w:t xml:space="preserve">— машинные</w:t>
      </w:r>
      <w:r>
        <w:t xml:space="preserve"> </w:t>
      </w:r>
      <w:r>
        <w:t xml:space="preserve">доказательства</w:t>
      </w:r>
      <w:r>
        <w:t xml:space="preserve"> </w:t>
      </w:r>
      <m:oMath>
        <m:r>
          <m:t>1265625</m:t>
        </m:r>
        <m:r>
          <m:rPr>
            <m:sty m:val="p"/>
          </m:rPr>
          <m:t>=</m:t>
        </m:r>
        <m:sSup>
          <m:e>
            <m:r>
              <m:t>1125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и произведения SNF.</w:t>
      </w:r>
    </w:p>
    <w:p>
      <w:pPr>
        <w:pStyle w:val="FirstParagraph"/>
      </w:pP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Лицензия: индивидуальная исключительная лицензия Исаева Исхака Хамзатовича.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Все права на вычисления, формулы и тексты принадлежат автору.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Верификация: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python3 laboratory.py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(пункт «Стенды»/«Сертификаты»),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Lean: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verification/lean/HodgeLaboratory.lean</w:t>
      </w:r>
      <w:r>
        <w:rPr>
          <w:i/>
          <w:color w:val="707070"/>
          <w:sz w:val="18"/>
        </w:rPr>
        <w:t xml:space="preserve">.</w:t>
      </w:r>
      <w:r>
        <w:rPr>
          <w:i/>
          <w:color w:val="707070"/>
          <w:sz w:val="18"/>
        </w:rPr>
        <w:t xml:space="preserve"> </w:t>
      </w:r>
    </w:p>
    <w:bookmarkEnd w:id="22"/>
    <w:sectPr>
      <w:pgMar w:bottom="1361" w:left="1361" w:right="1361" w:top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12" w:lineRule="auto"/>
    </w:pPr>
    <w:rPr>
      <w:rFonts w:ascii="Times New Roman" w:cs="Times New Roman" w:eastAsia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F4E79" w:space="6" w:sz="18" w:val="single"/>
      </w:pBdr>
      <w:shd w:fill="F4F6F9" w:val="clear"/>
      <w:spacing w:after="160" w:before="160" w:line="300" w:lineRule="auto"/>
      <w:ind w:firstLine="0" w:left="255" w:right="85"/>
      <w:jc w:val="both"/>
    </w:pPr>
    <w:rPr>
      <w:rFonts w:ascii="Times New Roman" w:cs="Times New Roman" w:eastAsia="Times New Roman" w:hAnsi="Times New Roman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center"/>
    </w:pPr>
    <w:rPr>
      <w:rFonts w:ascii="Times New Roman" w:cs="Times New Roman" w:eastAsia="Times New Roman" w:hAnsi="Times New Roman"/>
      <w:i/>
      <w:color w:val="555555"/>
      <w:sz w:val="19"/>
    </w:rPr>
  </w:style>
  <w:style w:customStyle="1" w:styleId="TableCaption" w:type="paragraph">
    <w:name w:val="Table Caption"/>
    <w:basedOn w:val="Caption"/>
    <w:pPr>
      <w:keepNext/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ImageCaption" w:type="paragraph">
    <w:name w:val="Image Caption"/>
    <w:basedOn w:val="Caption"/>
    <w:pPr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Теорема 3: поляризация и индексы решётки Ходжа</dc:title>
  <dc:creator>Исаев Исхак Хамзатович</dc:creator>
  <dc:language>ru-RU</dc:language>
  <cp:keywords>hodge-laboratory, theorem monograph, RU</cp:keywords>
  <dcterms:created xsi:type="dcterms:W3CDTF">2026-09-23T16:56:51Z</dcterms:created>
  <dcterms:modified xsi:type="dcterms:W3CDTF">2026-09-23T16:56:51Z</dcterms:modified>
  <dc:subject>Standalone theorem monograph 6/16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