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Тройка тора и вывод поправок</w:t>
      </w:r>
    </w:p>
    <w:p>
      <w:pPr>
        <w:jc w:val="center"/>
      </w:pPr>
      <w:r>
        <w:rPr>
          <w:b w:val="0"/>
          <w:i w:val="0"/>
          <w:color w:val="404040"/>
          <w:sz w:val="26"/>
        </w:rPr>
        <w:t>калибровочный стенд из первых принципов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7/16</w:t>
      </w:r>
    </w:p>
    <w:bookmarkStart w:id="22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Тор — калибровочный стенд: его тройка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и все</w:t>
      </w:r>
      <w:r>
        <w:t xml:space="preserve"> </w:t>
      </w:r>
      <w:r>
        <w:t xml:space="preserve">производные величины вычисляются из первых принципов, без единой</w:t>
      </w:r>
      <w:r>
        <w:t xml:space="preserve"> </w:t>
      </w:r>
      <w:r>
        <w:t xml:space="preserve">внешней посылки. Именно на торе конвейер поправок виден целиком, и</w:t>
      </w:r>
      <w:r>
        <w:t xml:space="preserve"> </w:t>
      </w:r>
      <w:r>
        <w:t xml:space="preserve">любая ошибка конструкции проявилась бы при грубом счёте.</w:t>
      </w:r>
    </w:p>
    <w:bookmarkStart w:id="20" w:name="lem:torus"/>
    <w:p>
      <w:pPr>
        <w:pStyle w:val="BodyText"/>
      </w:pPr>
      <w:r>
        <w:rPr>
          <w:b/>
          <w:bCs/>
        </w:rPr>
        <w:t xml:space="preserve">Лемма 1</w:t>
      </w:r>
      <w:r>
        <w:t xml:space="preserve"> </w:t>
      </w:r>
      <w:r>
        <w:t xml:space="preserve">(тройка тора).</w:t>
      </w:r>
      <w:r>
        <w:t xml:space="preserve"> </w:t>
      </w:r>
      <w:r>
        <w:t xml:space="preserve"> </w:t>
      </w:r>
      <w:r>
        <w:rPr>
          <w:i/>
          <w:iCs/>
        </w:rPr>
        <w:t xml:space="preserve">Тор поставляет целочисленную тройку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/>
          <w:iCs/>
        </w:rPr>
        <w:t xml:space="preserve">: порядок</w:t>
      </w:r>
      <w:r>
        <w:rPr>
          <w:i/>
          <w:iCs/>
        </w:rPr>
        <w:t xml:space="preserve"> </w:t>
      </w:r>
      <w:r>
        <w:rPr>
          <w:i/>
          <w:iCs/>
        </w:rPr>
        <w:t xml:space="preserve">поворота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i/>
          <w:iCs/>
        </w:rPr>
        <w:t xml:space="preserve">, индекс носителя</w:t>
      </w:r>
      <w:r>
        <w:rPr>
          <w:i/>
          <w:iCs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, спектральный порог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Поворот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i</m:t>
        </m:r>
        <m:r>
          <m:t>x</m:t>
        </m:r>
      </m:oMath>
      <w:r>
        <w:t xml:space="preserve"> </w:t>
      </w:r>
      <w:r>
        <w:t xml:space="preserve">имеет порядок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sSup>
          <m:e>
            <m:r>
              <m:t>i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Носитель — сам тор: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Z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Спектр</w:t>
      </w:r>
      <w:r>
        <w:t xml:space="preserve"> </w:t>
      </w:r>
      <w:r>
        <w:t xml:space="preserve">плоского лапласиана —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; в нормировке Tate порог</w:t>
      </w:r>
      <w:r>
        <w:t xml:space="preserve"> </w:t>
      </w:r>
      <w:r>
        <w:t xml:space="preserve">равен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универсальный первый член нормировки</w:t>
      </w:r>
      <w:r>
        <w:t xml:space="preserve"> </w:t>
      </w:r>
      <w:r>
        <w:t xml:space="preserve">(сертификат G1). ◻</w:t>
      </w:r>
    </w:p>
    <w:bookmarkStart w:id="21" w:name="th:toruscorr"/>
    <w:p>
      <w:pPr>
        <w:pStyle w:val="BodyText"/>
      </w:pPr>
      <w:r>
        <w:rPr>
          <w:b/>
          <w:bCs/>
        </w:rPr>
        <w:t xml:space="preserve">Теорема 2</w:t>
      </w:r>
      <w:r>
        <w:t xml:space="preserve"> </w:t>
      </w:r>
      <w:r>
        <w:t xml:space="preserve">(полный вывод поправок на торе).</w:t>
      </w:r>
      <w:r>
        <w:t xml:space="preserve"> </w:t>
      </w:r>
      <w:r>
        <w:t xml:space="preserve"> </w:t>
      </w:r>
      <w:r>
        <w:rPr>
          <w:i/>
          <w:iCs/>
        </w:rPr>
        <w:t xml:space="preserve">Из тройки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правила конвейера дают: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0.7853981634</m:t>
        </m:r>
      </m:oMath>
      <w:r>
        <w:rPr>
          <w:i/>
          <w:iCs/>
        </w:rPr>
        <w:t xml:space="preserve">; голономия поворота</w:t>
      </w:r>
      <w:r>
        <w:rPr>
          <w:i/>
          <w:iCs/>
        </w:rPr>
        <w:t xml:space="preserve"> </w:t>
      </w:r>
      <m:oMath>
        <m:r>
          <m:rPr>
            <m:sty m:val="p"/>
          </m:rPr>
          <m:t>=</m:t>
        </m:r>
        <m:r>
          <m:t>i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(отклонение</w:t>
      </w:r>
      <w:r>
        <w:rPr>
          <w:i/>
          <w:iCs/>
        </w:rPr>
        <w:t xml:space="preserve"> </w:t>
      </w:r>
      <w:r>
        <w:rPr>
          <w:i/>
          <w:iCs/>
        </w:rPr>
        <w:t xml:space="preserve">протокола</w:t>
      </w:r>
      <w:r>
        <w:rPr>
          <w:i/>
          <w:iCs/>
        </w:rPr>
        <w:t xml:space="preserve"> </w:t>
      </w:r>
      <m:oMath>
        <m:r>
          <m:t>6.1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— машинная точность);</w:t>
      </w:r>
      <w:r>
        <w:rPr>
          <w:i/>
          <w:iCs/>
        </w:rP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0.3084251375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0.3805042619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0.2988473484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sSubSup>
          <m:e>
            <m:r>
              <m:t>Δ</m:t>
            </m:r>
          </m:e>
          <m:sub>
            <m:r>
              <m:t>C</m:t>
            </m:r>
            <m:r>
              <m:t>h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</m:sup>
        </m:sSubSup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δ</m:t>
                </m:r>
              </m:e>
              <m:sup>
                <m:r>
                  <m:t>5</m:t>
                </m:r>
              </m:sup>
            </m:sSup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39.4879953935</m:t>
        </m:r>
      </m:oMath>
      <w:r>
        <w:rPr>
          <w:i/>
          <w:iCs/>
        </w:rP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Каждая величина — по одному правилу: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(спиновое двойное накрытие);</w:t>
      </w:r>
      <w: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— главная фазовая</w:t>
      </w:r>
      <w:r>
        <w:t xml:space="preserve"> </w:t>
      </w:r>
      <w:r>
        <w:t xml:space="preserve">поправка;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⋅</m:t>
        </m:r>
        <m:r>
          <m:t>γ</m:t>
        </m:r>
      </m:oMath>
      <w:r>
        <w:t xml:space="preserve">; объединение — по формуле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. Голономия: подъём поворота в спин-расслоение переставляет</w:t>
      </w:r>
      <w:r>
        <w:t xml:space="preserve"> </w:t>
      </w:r>
      <w:r>
        <w:t xml:space="preserve">листы, собственное значение на собственной форме равно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Все знаки воспроизводятся при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с нулевой невязкой</w:t>
      </w:r>
      <w:r>
        <w:t xml:space="preserve"> </w:t>
      </w:r>
      <w:r>
        <w:t xml:space="preserve">последнего разряда. ◻</w:t>
      </w:r>
    </w:p>
    <w:p>
      <w:pPr>
        <w:pStyle w:val="BodyText"/>
      </w:pPr>
      <w:r>
        <w:rPr>
          <w:i/>
          <w:iCs/>
        </w:rPr>
        <w:t xml:space="preserve">Замечание 3</w:t>
      </w:r>
      <w:r>
        <w:t xml:space="preserve"> </w:t>
      </w:r>
      <w:r>
        <w:t xml:space="preserve">(эквивариантность шахматной сетки).</w:t>
      </w:r>
      <w:r>
        <w:t xml:space="preserve"> </w:t>
      </w:r>
      <w:r>
        <w:t xml:space="preserve"> </w:t>
      </w:r>
      <w:r>
        <w:t xml:space="preserve">Для симметричной кодировки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-эквивариантность точная</w:t>
      </w:r>
      <w:r>
        <w:t xml:space="preserve"> </w:t>
      </w:r>
      <w:r>
        <w:t xml:space="preserve">(отклонение</w:t>
      </w:r>
      <w:r>
        <w:t xml:space="preserve"> </w:t>
      </w:r>
      <m:oMath>
        <m:r>
          <m:t>0.000</m:t>
        </m:r>
      </m:oMath>
      <w:r>
        <w:t xml:space="preserve"> </w:t>
      </w:r>
      <w:r>
        <w:t xml:space="preserve">по сетке</w:t>
      </w:r>
      <w:r>
        <w:t xml:space="preserve"> </w:t>
      </w:r>
      <m:oMath>
        <m:r>
          <m:t>4096</m:t>
        </m:r>
        <m:r>
          <m:rPr>
            <m:sty m:val="p"/>
          </m:rPr>
          <m:t>×</m:t>
        </m:r>
        <m:r>
          <m:t>4096</m:t>
        </m:r>
      </m:oMath>
      <w:r>
        <w:t xml:space="preserve">); для кодировки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 </w:t>
      </w:r>
      <w:r>
        <w:t xml:space="preserve">— нарушена (</w:t>
      </w:r>
      <m:oMath>
        <m:r>
          <m:t>1.000</m:t>
        </m:r>
      </m:oMath>
      <w:r>
        <w:t xml:space="preserve">). Контраст доказывает: поправки</w:t>
      </w:r>
      <w:r>
        <w:t xml:space="preserve"> </w:t>
      </w:r>
      <w:r>
        <w:t xml:space="preserve">геометричны — они наследуют симметрию носителя.</w:t>
      </w:r>
    </w:p>
    <w:p>
      <w:pPr>
        <w:pStyle w:val="BlockText"/>
      </w:pPr>
      <w:r>
        <w:rPr>
          <w:b/>
          <w:bCs/>
        </w:rPr>
        <w:t xml:space="preserve">Данные протокола (числа).</w:t>
      </w:r>
      <w:r>
        <w:t xml:space="preserve"> </w:t>
      </w:r>
      <w:r>
        <w:t xml:space="preserve">Семейство фаз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воспроизведено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</m:t>
        </m:r>
      </m:oMath>
      <w:r>
        <w:t xml:space="preserve">;</w:t>
      </w:r>
      <w:r>
        <w:t xml:space="preserve"> </w:t>
      </w:r>
      <w:r>
        <w:t xml:space="preserve">таблицы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для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}</m:t>
        </m:r>
      </m:oMath>
      <w:r>
        <w:t xml:space="preserve"> </w:t>
      </w:r>
      <w:r>
        <w:t xml:space="preserve">построены полностью; кейс E6 исправлен: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0.7990</m:t>
        </m:r>
      </m:oMath>
      <w:r>
        <w:t xml:space="preserve"> </w:t>
      </w:r>
      <w:r>
        <w:t xml:space="preserve">(не</w:t>
      </w:r>
      <w:r>
        <w:t xml:space="preserve"> </w:t>
      </w:r>
      <m:oMath>
        <m:r>
          <m:t>0.5964</m:t>
        </m:r>
      </m:oMath>
      <w:r>
        <w:t xml:space="preserve">); на Клейне та же формула даёт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h</m:t>
            </m:r>
          </m:sub>
        </m:sSub>
        <m:r>
          <m:rPr>
            <m:sty m:val="p"/>
          </m:rPr>
          <m:t>≈</m:t>
        </m:r>
        <m:r>
          <m:t>3.4399</m:t>
        </m:r>
      </m:oMath>
      <w:r>
        <w:t xml:space="preserve"> </w:t>
      </w:r>
      <w:r>
        <w:t xml:space="preserve">при наблюдаемом</w:t>
      </w:r>
      <w:r>
        <w:t xml:space="preserve"> </w:t>
      </w:r>
      <m:oMath>
        <m:r>
          <m:t>3.443</m:t>
        </m:r>
      </m:oMath>
      <w:r>
        <w:t xml:space="preserve"> </w:t>
      </w:r>
      <w:r>
        <w:t xml:space="preserve">— отклонение</w:t>
      </w:r>
      <w:r>
        <w:t xml:space="preserve"> </w:t>
      </w:r>
      <m:oMath>
        <m:r>
          <m:t>0.0905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Тройка тора и все производные величины выведены из первых принципов;</w:t>
      </w:r>
      <w:r>
        <w:t xml:space="preserve"> </w:t>
      </w:r>
      <w:r>
        <w:t xml:space="preserve">конвейер на торе работает точно, что является калибровкой для всех</w:t>
      </w:r>
      <w:r>
        <w:t xml:space="preserve"> </w:t>
      </w:r>
      <w:r>
        <w:t xml:space="preserve">верхних ступеней.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«Стенды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Тор»; таблица</w:t>
      </w:r>
      <w:r>
        <w:t xml:space="preserve"> </w:t>
      </w:r>
      <m:oMath>
        <m:r>
          <m:t>γ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— пункт «Таблицы»;</w:t>
      </w:r>
      <w:r>
        <w:t xml:space="preserve"> </w:t>
      </w:r>
      <w:r>
        <w:t xml:space="preserve">диаграмма</w:t>
      </w:r>
      <w:r>
        <w:t xml:space="preserve"> </w:t>
      </w:r>
      <w:r>
        <w:rPr>
          <w:rStyle w:val="VerbatimChar"/>
        </w:rPr>
        <w:t xml:space="preserve">fig_torus.png</w:t>
      </w:r>
      <w:r>
        <w:t xml:space="preserve">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2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Тройка тора и вывод поправок</dc:title>
  <dc:creator>Исаев Исхак Хамзатович</dc:creator>
  <dc:language>ru-RU</dc:language>
  <cp:keywords>hodge-laboratory, theorem monograph, RU</cp:keywords>
  <dcterms:created xsi:type="dcterms:W3CDTF">2026-09-23T16:56:51Z</dcterms:created>
  <dcterms:modified xsi:type="dcterms:W3CDTF">2026-09-23T16:56:51Z</dcterms:modified>
  <dc:subject>Standalone theorem monograph 7/16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