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Стенд K3: ранг Нерона–Севери 20</w:t>
      </w:r>
    </w:p>
    <w:p>
      <w:pPr>
        <w:jc w:val="center"/>
      </w:pPr>
      <w:r>
        <w:rPr>
          <w:b w:val="0"/>
          <w:i w:val="0"/>
          <w:color w:val="404040"/>
          <w:sz w:val="26"/>
        </w:rPr>
        <w:t>сорок восемь прямых и точная матрица пересечений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8/16</w:t>
      </w:r>
    </w:p>
    <w:bookmarkStart w:id="21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Фермат-квартика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w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— K3-поверхность</w:t>
      </w:r>
      <w:r>
        <w:t xml:space="preserve"> </w:t>
      </w:r>
      <w:r>
        <w:t xml:space="preserve">максимального ранга Нерона–Севери. Гипотеза Ходжа для неё доказана</w:t>
      </w:r>
      <w:r>
        <w:t xml:space="preserve"> </w:t>
      </w:r>
      <w:r>
        <w:t xml:space="preserve">(Шиода, 1979); программа воспроизводит все инварианты точной</w:t>
      </w:r>
      <w:r>
        <w:t xml:space="preserve"> </w:t>
      </w:r>
      <w:r>
        <w:t xml:space="preserve">целочисленной арифметикой над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.</w:t>
      </w:r>
    </w:p>
    <w:bookmarkStart w:id="20" w:name="th:k3stand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(инварианты K3-стенда).</w:t>
      </w:r>
      <w:r>
        <w:t xml:space="preserve"> </w:t>
      </w:r>
      <w:r>
        <w:t xml:space="preserve"> </w:t>
      </w:r>
      <w:r>
        <w:rPr>
          <w:i/>
          <w:iCs/>
        </w:rPr>
        <w:t xml:space="preserve">Для точной матрицы пересечений</w:t>
      </w:r>
      <w:r>
        <w:rPr>
          <w:i/>
          <w:iCs/>
        </w:rP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(48 прямых + класс</w:t>
      </w:r>
      <w:r>
        <w:rPr>
          <w:i/>
          <w:iCs/>
        </w:rPr>
        <w:t xml:space="preserve"> </w:t>
      </w:r>
      <w:r>
        <w:rPr>
          <w:i/>
          <w:iCs/>
        </w:rPr>
        <w:t xml:space="preserve">гиперплоскости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) Фермат-квартики выполнено:</w:t>
      </w:r>
      <w:r>
        <w:rPr>
          <w:i/>
          <w:iCs/>
        </w:rPr>
        <w:t xml:space="preserve"> </w:t>
      </w:r>
      <w:r>
        <w:rPr>
          <w:i/>
          <w:iCs/>
        </w:rPr>
        <w:t xml:space="preserve">(1)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rank</m:t>
            </m:r>
          </m:e>
          <m:sub>
            <m:r>
              <m:rPr>
                <m:sty m:val="p"/>
                <m:scr m:val="double-struck"/>
              </m:rPr>
              <m:t>Q</m:t>
            </m:r>
          </m:sub>
        </m:sSub>
        <m:r>
          <m:t>G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совпадает с теоремой Шиода</w:t>
      </w:r>
      <w:r>
        <w:rPr>
          <w:i/>
          <w:iCs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(2) сигнатура численной части равна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(3) определитель подрешётки равен</w:t>
      </w:r>
      <w:r>
        <w:rPr>
          <w:i/>
          <w:iCs/>
        </w:rPr>
        <w:t xml:space="preserve"> </w:t>
      </w:r>
      <m:oMath>
        <m:r>
          <m:t>64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(4) сумма четырёх прямых одного семейства эквивалентна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  <m:r>
          <m:rPr>
            <m:sty m:val="p"/>
          </m:rPr>
          <m:t>∼</m:t>
        </m:r>
        <m:r>
          <m:t>h</m:t>
        </m:r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Прямые: три семейства по</w:t>
      </w:r>
      <w:r>
        <w:t xml:space="preserve"> </w:t>
      </w:r>
      <m:oMath>
        <m:r>
          <m:t>16</m:t>
        </m:r>
      </m:oMath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x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a</m:t>
            </m:r>
          </m:sup>
        </m:sSup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b</m:t>
            </m:r>
          </m:sup>
        </m:sSup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x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a</m:t>
            </m:r>
          </m:sup>
        </m:sSup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b</m:t>
            </m:r>
          </m:sup>
        </m:sSup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x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a</m:t>
            </m:r>
          </m:sup>
        </m:sSup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b</m:t>
            </m:r>
          </m:sup>
        </m:sSup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Правила пересечений комбинаторны:</w:t>
      </w:r>
      <w:r>
        <w:t xml:space="preserve"> </w:t>
      </w:r>
      <m:oMath>
        <m:r>
          <m:t>L</m:t>
        </m:r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; внутри семейства</w:t>
      </w:r>
      <w:r>
        <w:t xml:space="preserve"> </w:t>
      </w:r>
      <w:r>
        <w:t xml:space="preserve">пересечение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iff ровно один индекс совпадает; между семействами</w:t>
      </w:r>
      <w:r>
        <w:t xml:space="preserve"> </w:t>
      </w:r>
      <w:r>
        <w:t xml:space="preserve">циклические условия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≡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— лишняя единица из суммы трёх нечётных</w:t>
      </w:r>
      <w:r>
        <w:t xml:space="preserve"> </w:t>
      </w:r>
      <w:r>
        <w:t xml:space="preserve">показателей);</w:t>
      </w:r>
      <w:r>
        <w:t xml:space="preserve"> </w:t>
      </w:r>
      <m:oMath>
        <m:r>
          <m:t>h</m:t>
        </m:r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Ранг: точное целочисленное приведение (фракционная элиминация без</w:t>
      </w:r>
      <w:r>
        <w:t xml:space="preserve"> </w:t>
      </w:r>
      <w:r>
        <w:t xml:space="preserve">округлений) —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ненулевых строк; двойная регистрация через</w:t>
      </w:r>
      <w:r>
        <w:t xml:space="preserve"> </w:t>
      </w:r>
      <w:r>
        <w:t xml:space="preserve">миноры Смит-нормы.</w:t>
      </w:r>
      <w:r>
        <w:t xml:space="preserve"> </w:t>
      </w:r>
      <w:r>
        <w:t xml:space="preserve">Сигнатура: собственные значения — одно положительное,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отрицательных, нулей нет (порог отделения</w:t>
      </w:r>
      <w:r>
        <w:t xml:space="preserve"> </w:t>
      </w:r>
      <m:oMath>
        <m:r>
          <m:t>0.1</m:t>
        </m:r>
      </m:oMath>
      <w:r>
        <w:t xml:space="preserve">).</w:t>
      </w:r>
      <w:r>
        <w:t xml:space="preserve"> </w:t>
      </w:r>
      <w:r>
        <w:t xml:space="preserve">Определитель: полная решётка K3 унимодулярна сигнатуры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;</w:t>
      </w:r>
      <w:r>
        <w:t xml:space="preserve"> </w:t>
      </w:r>
      <w:r>
        <w:t xml:space="preserve">индекс подрешётки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Эквивалентность: вектор пересечений суммы прямых покомпонентно равен</w:t>
      </w:r>
      <w:r>
        <w:t xml:space="preserve"> </w:t>
      </w:r>
      <w:r>
        <w:t xml:space="preserve">вектору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(все</w:t>
      </w:r>
      <w:r>
        <w:t xml:space="preserve"> </w:t>
      </w:r>
      <m:oMath>
        <m:r>
          <m:t>49</m:t>
        </m:r>
      </m:oMath>
      <w:r>
        <w:t xml:space="preserve"> </w:t>
      </w:r>
      <w:r>
        <w:t xml:space="preserve">компонент); разность ортогональна</w:t>
      </w:r>
      <w:r>
        <w:t xml:space="preserve"> </w:t>
      </w:r>
      <w:r>
        <w:t xml:space="preserve">алгебраической подрешётке и лежит в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 </w:t>
      </w:r>
      <w:r>
        <w:t xml:space="preserve">по</w:t>
      </w:r>
      <w:r>
        <w:t xml:space="preserve"> </w:t>
      </w:r>
      <w:r>
        <w:t xml:space="preserve">индексу Ходжа; но разность алгебраична, а алгебраические классы</w:t>
      </w:r>
      <w:r>
        <w:t xml:space="preserve"> </w:t>
      </w:r>
      <w:r>
        <w:t xml:space="preserve">ортогональны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t xml:space="preserve">; значит, разность нулевая. ◻</w:t>
      </w:r>
    </w:p>
    <w:p>
      <w:pPr>
        <w:pStyle w:val="BodyText"/>
      </w:pPr>
      <w:r>
        <w:rPr>
          <w:b/>
          <w:bCs/>
        </w:rPr>
        <w:t xml:space="preserve">Предложение 2</w:t>
      </w:r>
      <w:r>
        <w:t xml:space="preserve"> </w:t>
      </w:r>
      <w:r>
        <w:t xml:space="preserve">(циклы кодимерсии 2).</w:t>
      </w:r>
      <w:r>
        <w:t xml:space="preserve"> </w:t>
      </w:r>
      <w:r>
        <w:t xml:space="preserve"> </w:t>
      </w:r>
      <w:r>
        <w:rPr>
          <w:i/>
          <w:iCs/>
        </w:rPr>
        <w:t xml:space="preserve">Класс точки:</w:t>
      </w:r>
      <w:r>
        <w:rPr>
          <w:i/>
          <w:i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</m:d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точно, так как</w:t>
      </w:r>
      <w:r>
        <w:rPr>
          <w:i/>
          <w:iCs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deg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 На</w:t>
      </w:r>
      <w:r>
        <w:rPr>
          <w:i/>
          <w:iCs/>
        </w:rPr>
        <w:t xml:space="preserve"> </w:t>
      </w:r>
      <m:oMath>
        <m:r>
          <m:t>K</m:t>
        </m:r>
        <m:r>
          <m:t>3</m:t>
        </m:r>
        <m:r>
          <m:rPr>
            <m:sty m:val="p"/>
          </m:rPr>
          <m:t>×</m:t>
        </m:r>
        <m:r>
          <m:t>K</m:t>
        </m:r>
        <m:r>
          <m:t>3</m:t>
        </m:r>
      </m:oMath>
      <w:r>
        <w:rPr>
          <w:i/>
          <w:iCs/>
        </w:rPr>
        <w:t xml:space="preserve">: пары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дают</w:t>
      </w:r>
      <w:r>
        <w:rPr>
          <w:i/>
          <w:iCs/>
        </w:rPr>
        <w:t xml:space="preserve"> </w:t>
      </w:r>
      <m:oMath>
        <m:r>
          <m:t>24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независимых класса кодимерсии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диагональные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-пары — ещё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; все алгебраичны с явными</w:t>
      </w:r>
      <w:r>
        <w:rPr>
          <w:i/>
          <w:iCs/>
        </w:rPr>
        <w:t xml:space="preserve"> </w:t>
      </w:r>
      <w:r>
        <w:rPr>
          <w:i/>
          <w:iCs/>
        </w:rPr>
        <w:t xml:space="preserve">носителями. Слепой зоны нет: каждый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i/>
          <w:iCs/>
        </w:rPr>
        <w:t xml:space="preserve">-класс, ортогональный</w:t>
      </w:r>
      <w:r>
        <w:rPr>
          <w:i/>
          <w:iCs/>
        </w:rPr>
        <w:t xml:space="preserve"> </w:t>
      </w:r>
      <w:r>
        <w:rPr>
          <w:i/>
          <w:iCs/>
        </w:rPr>
        <w:t xml:space="preserve">построенным циклам, нулевой по индексу Ходжа.</w:t>
      </w:r>
    </w:p>
    <w:p>
      <w:pPr>
        <w:pStyle w:val="BlockText"/>
      </w:pPr>
      <w:r>
        <w:rPr>
          <w:b/>
          <w:bCs/>
        </w:rPr>
        <w:t xml:space="preserve">Данные протокола (числа).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48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=</m:t>
        </m:r>
        <m:r>
          <m:t>ρ</m:t>
        </m:r>
      </m:oMath>
      <w:r>
        <w:t xml:space="preserve"> </w:t>
      </w:r>
      <w:r>
        <w:t xml:space="preserve">(Шиода); инерция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;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64</m:t>
        </m:r>
      </m:oMath>
      <w:r>
        <w:t xml:space="preserve">; гиперплоскостное соотношение точно; орбит</w:t>
      </w:r>
      <w:r>
        <w:t xml:space="preserve"> </w:t>
      </w:r>
      <m:oMath>
        <m:r>
          <m:t>12</m:t>
        </m:r>
      </m:oMath>
      <w:r>
        <w:t xml:space="preserve">; кратности</w:t>
      </w:r>
      <w:r>
        <w:t xml:space="preserve"> </w:t>
      </w:r>
      <w:r>
        <w:t xml:space="preserve">характеров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— суммарно</w:t>
      </w:r>
      <w:r>
        <w:t xml:space="preserve"> </w:t>
      </w:r>
      <m:oMath>
        <m:r>
          <m:t>22</m:t>
        </m:r>
      </m:oMath>
      <w:r>
        <w:t xml:space="preserve">; кодимерсия 2: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24</m:t>
        </m:r>
      </m:oMath>
      <w:r>
        <w:t xml:space="preserve">;</w:t>
      </w:r>
      <w:r>
        <w:t xml:space="preserve"> </w:t>
      </w:r>
      <w:r>
        <w:t xml:space="preserve">время счёта</w:t>
      </w:r>
      <w:r>
        <w:t xml:space="preserve"> </w:t>
      </w:r>
      <m:oMath>
        <m:r>
          <m:t>1.04</m:t>
        </m:r>
      </m:oMath>
      <w:r>
        <w:t xml:space="preserve"> с.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Все инварианты K3-стенда вычислены точно над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; совпадение с</w:t>
      </w:r>
      <w:r>
        <w:t xml:space="preserve"> </w:t>
      </w:r>
      <w:r>
        <w:t xml:space="preserve">теоремой Шиода подтверждено; эквивалентность семейства 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доказана точно.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«Стенды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K3»: матрица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t xml:space="preserve">, ранг, сигнатура, определитель — за секунду.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Стенд K3: ранг Нерона–Севери 20</dc:title>
  <dc:creator>Исаев Исхак Хамзатович</dc:creator>
  <dc:language>ru-RU</dc:language>
  <cp:keywords>hodge-laboratory, theorem monograph, RU</cp:keywords>
  <dcterms:created xsi:type="dcterms:W3CDTF">2026-09-23T16:56:51Z</dcterms:created>
  <dcterms:modified xsi:type="dcterms:W3CDTF">2026-09-23T16:56:51Z</dcterms:modified>
  <dc:subject>Standalone theorem monograph 8/16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