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i w:val="0"/>
          <w:color w:val="1F4E79"/>
          <w:sz w:val="40"/>
        </w:rPr>
        <w:t>Сертификат B: закрытие ядра 29</w:t>
      </w:r>
    </w:p>
    <w:p>
      <w:pPr>
        <w:jc w:val="center"/>
      </w:pPr>
      <w:r>
        <w:rPr>
          <w:b w:val="0"/>
          <w:i w:val="0"/>
          <w:color w:val="404040"/>
          <w:sz w:val="26"/>
        </w:rPr>
        <w:t>точное сравнение с периодами и Ходж-тест</w:t>
      </w:r>
    </w:p>
    <w:p>
      <w:pPr>
        <w:jc w:val="center"/>
      </w:pPr>
      <w:r>
        <w:rPr>
          <w:b/>
          <w:i w:val="0"/>
          <w:color w:val="202020"/>
          <w:sz w:val="23"/>
        </w:rPr>
        <w:t>Исаев Исхак Хамзатович</w:t>
      </w:r>
    </w:p>
    <w:p>
      <w:pPr>
        <w:jc w:val="center"/>
      </w:pPr>
      <w:r>
        <w:rPr>
          <w:b w:val="0"/>
          <w:i w:val="0"/>
          <w:color w:val="666666"/>
          <w:sz w:val="19"/>
        </w:rPr>
        <w:t>Программа «Динамический принцип» — лаборатория hodge-laboratory</w:t>
      </w:r>
    </w:p>
    <w:p>
      <w:pPr>
        <w:jc w:val="center"/>
      </w:pPr>
      <w:r>
        <w:rPr>
          <w:b w:val="0"/>
          <w:i w:val="0"/>
          <w:color w:val="666666"/>
          <w:sz w:val="19"/>
        </w:rPr>
        <w:t>Отдельная монография теоремы · Монография 10/16</w:t>
      </w:r>
    </w:p>
    <w:bookmarkStart w:id="21" w:name="постановка"/>
    <w:p>
      <w:pPr>
        <w:pStyle w:val="Heading1"/>
      </w:pPr>
      <w:r>
        <w:t xml:space="preserve">Постановка</w:t>
      </w:r>
    </w:p>
    <w:p>
      <w:pPr>
        <w:pStyle w:val="FirstParagraph"/>
      </w:pPr>
      <w:r>
        <w:t xml:space="preserve">Сертификатор циклов (сертификат A) предъявляет «реальную фигуру» —</w:t>
      </w:r>
      <w:r>
        <w:t xml:space="preserve"> </w:t>
      </w:r>
      <w:r>
        <w:t xml:space="preserve">явный дивизор с уравнениями. Его слепая зона — ядро спариваний</w:t>
      </w:r>
      <w:r>
        <w:t xml:space="preserve"> </w:t>
      </w:r>
      <w:r>
        <w:t xml:space="preserve">размерности</w:t>
      </w:r>
      <w:r>
        <w:t xml:space="preserve"> </w:t>
      </w:r>
      <m:oMath>
        <m:r>
          <m:t>29</m:t>
        </m:r>
      </m:oMath>
      <w:r>
        <w:t xml:space="preserve"> </w:t>
      </w:r>
      <w:r>
        <w:t xml:space="preserve">— закрывается сертификатом B периодами. Вместе</w:t>
      </w:r>
      <w:r>
        <w:t xml:space="preserve"> </w:t>
      </w:r>
      <w:r>
        <w:t xml:space="preserve">сертификаты A и B гарантируют: класс дивизора определён точно на</w:t>
      </w:r>
      <w:r>
        <w:t xml:space="preserve"> </w:t>
      </w:r>
      <w:r>
        <w:t xml:space="preserve">всей когомологии.</w:t>
      </w:r>
    </w:p>
    <w:bookmarkStart w:id="20" w:name="th:B1"/>
    <w:p>
      <w:pPr>
        <w:pStyle w:val="BodyText"/>
      </w:pPr>
      <w:r>
        <w:rPr>
          <w:b/>
          <w:bCs/>
        </w:rPr>
        <w:t xml:space="preserve">Теорема 1</w:t>
      </w:r>
      <w:r>
        <w:t xml:space="preserve"> </w:t>
      </w:r>
      <w:r>
        <w:t xml:space="preserve">(B1 — строение ядра).</w:t>
      </w:r>
      <w:r>
        <w:t xml:space="preserve"> </w:t>
      </w:r>
      <w:r>
        <w:t xml:space="preserve"> </w:t>
      </w:r>
      <w:r>
        <w:rPr>
          <w:i/>
          <w:iCs/>
        </w:rPr>
        <w:t xml:space="preserve">Пусть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точная матрица спариваний</w:t>
      </w:r>
      <w:r>
        <w:rPr>
          <w:i/>
          <w:iCs/>
        </w:rPr>
        <w:t xml:space="preserve"> </w:t>
      </w:r>
      <m:oMath>
        <m:r>
          <m:t>49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измерений с</w:t>
      </w:r>
      <w:r>
        <w:rPr>
          <w:i/>
          <w:iCs/>
        </w:rPr>
        <w:t xml:space="preserve"> </w:t>
      </w:r>
      <w:r>
        <w:rPr>
          <w:i/>
          <w:iCs/>
        </w:rPr>
        <w:t xml:space="preserve">алгебраической подрешёткой ранга</w:t>
      </w:r>
      <w:r>
        <w:rPr>
          <w:i/>
          <w:iCs/>
        </w:rPr>
        <w:t xml:space="preserve"> </w:t>
      </w:r>
      <m:oMath>
        <m:r>
          <m:t>20</m:t>
        </m:r>
      </m:oMath>
      <w:r>
        <w:rPr>
          <w:i/>
          <w:iCs/>
        </w:rPr>
        <w:t xml:space="preserve">. Тогда</w:t>
      </w:r>
      <w:r>
        <w:rPr>
          <w:i/>
          <w:iCs/>
        </w:rP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ker</m:t>
        </m:r>
        <m:r>
          <m:t>G</m:t>
        </m:r>
        <m:r>
          <m:rPr>
            <m:sty m:val="p"/>
          </m:rPr>
          <m:t>=</m:t>
        </m:r>
        <m:r>
          <m:t>29</m:t>
        </m:r>
      </m:oMath>
      <w:r>
        <w:rPr>
          <w:i/>
          <w:iCs/>
        </w:rPr>
        <w:t xml:space="preserve">, ядро</w:t>
      </w:r>
      <w:r>
        <w:rPr>
          <w:i/>
          <w:iCs/>
        </w:rPr>
        <w:t xml:space="preserve"> </w:t>
      </w:r>
      <w:r>
        <w:rPr>
          <w:i/>
          <w:iCs/>
        </w:rPr>
        <w:t xml:space="preserve">состоит в точности из когомологических соотношений, и сертификат A</w:t>
      </w:r>
      <w:r>
        <w:rPr>
          <w:i/>
          <w:iCs/>
        </w:rPr>
        <w:t xml:space="preserve"> </w:t>
      </w:r>
      <w:r>
        <w:rPr>
          <w:i/>
          <w:iCs/>
        </w:rPr>
        <w:t xml:space="preserve">полн на подрешётке Нерона–Севери. Слепая зона</w:t>
      </w:r>
      <w:r>
        <w:rPr>
          <w:i/>
          <w:iCs/>
        </w:rPr>
        <w:t xml:space="preserve"> </w:t>
      </w:r>
      <m:oMath>
        <m:r>
          <m:t>29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→</m:t>
        </m:r>
        <m:r>
          <m:t>0</m:t>
        </m:r>
      </m:oMath>
      <w:r>
        <w:rPr>
          <w:i/>
          <w:iCs/>
        </w:rPr>
        <w:t xml:space="preserve">: два</w:t>
      </w:r>
      <w:r>
        <w:rPr>
          <w:i/>
          <w:iCs/>
        </w:rPr>
        <w:t xml:space="preserve"> </w:t>
      </w:r>
      <w:r>
        <w:rPr>
          <w:i/>
          <w:iCs/>
        </w:rPr>
        <w:t xml:space="preserve">транцендентных направления проверяются периодами с точностью</w:t>
      </w:r>
      <w:r>
        <w:rPr>
          <w:i/>
          <w:iCs/>
        </w:rP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90</m:t>
            </m:r>
          </m:sup>
        </m:sSup>
      </m:oMath>
      <w:r>
        <w:rPr>
          <w:i/>
          <w:iCs/>
        </w:rP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Ранг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равен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(инварианты K3-стенда), размерность</w:t>
      </w:r>
      <w:r>
        <w:t xml:space="preserve"> </w:t>
      </w:r>
      <w:r>
        <w:t xml:space="preserve">пространства измерений</w:t>
      </w:r>
      <w:r>
        <w:t xml:space="preserve"> </w:t>
      </w:r>
      <m:oMath>
        <m:r>
          <m:t>49</m:t>
        </m:r>
      </m:oMath>
      <w:r>
        <w:t xml:space="preserve">, откуда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ker</m:t>
        </m:r>
        <m:r>
          <m:t>G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=</m:t>
        </m:r>
        <m:r>
          <m:t>29</m:t>
        </m:r>
      </m:oMath>
      <w:r>
        <w:t xml:space="preserve">. Ядро —</w:t>
      </w:r>
      <w:r>
        <w:t xml:space="preserve"> </w:t>
      </w:r>
      <w:r>
        <w:t xml:space="preserve">ортогональное дополнение алгебраической подрешётки; по теореме об</w:t>
      </w:r>
      <w:r>
        <w:t xml:space="preserve"> </w:t>
      </w:r>
      <w:r>
        <w:t xml:space="preserve">индексе Ходжа (Шиода для Фермат-квартики) оно состоит в точности из</w:t>
      </w:r>
      <w:r>
        <w:t xml:space="preserve"> </w:t>
      </w:r>
      <w:r>
        <w:t xml:space="preserve">когомологических соотношений: классов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⊕</m:t>
        </m:r>
        <m:sSup>
          <m:e>
            <m:r>
              <m:t>H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w:r>
        <w:t xml:space="preserve">антиалгебраической части</w:t>
      </w:r>
      <w:r>
        <w:t xml:space="preserve"> </w:t>
      </w:r>
      <m:oMath>
        <m:sSup>
          <m:e>
            <m:r>
              <m:t>H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</m:oMath>
      <w:r>
        <w:t xml:space="preserve">. Ходж-тест периодами: два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-направления проверяются интегралами; значения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90</m:t>
            </m:r>
          </m:sup>
        </m:sSup>
      </m:oMath>
      <w:r>
        <w:t xml:space="preserve"> </w:t>
      </w:r>
      <w:r>
        <w:t xml:space="preserve">приравниваются нулю в силу точной аналитики интегралов. ◻</w:t>
      </w:r>
    </w:p>
    <w:p>
      <w:pPr>
        <w:pStyle w:val="BlockText"/>
      </w:pPr>
      <w:r>
        <w:rPr>
          <w:b/>
          <w:bCs/>
        </w:rPr>
        <w:t xml:space="preserve">Данные протокола (числа сертификата B).</w:t>
      </w:r>
      <w:r>
        <w:t xml:space="preserve"> </w:t>
      </w:r>
      <w:r>
        <w:t xml:space="preserve">Дивизор: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sSub>
          <m:e>
            <m:r>
              <m:t>L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L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+</m:t>
        </m:r>
        <m:f>
          <m:fPr>
            <m:type m:val="lin"/>
          </m:fPr>
          <m:num>
            <m:r>
              <m:t>5</m:t>
            </m:r>
          </m:num>
          <m:den>
            <m:r>
              <m:t>4</m:t>
            </m:r>
          </m:den>
        </m:f>
        <m:r>
          <m:t>h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все спаривания точны над</w:t>
      </w:r>
      <w:r>
        <w:t xml:space="preserve"> </w:t>
      </w:r>
      <m:oMath>
        <m:r>
          <m:rPr>
            <m:sty m:val="p"/>
            <m:scr m:val="double-struck"/>
          </m:rPr>
          <m:t>Q</m:t>
        </m:r>
      </m:oMath>
      <w:r>
        <w:t xml:space="preserve">.</w:t>
      </w:r>
      <w:r>
        <w:t xml:space="preserve"> </w:t>
      </w:r>
      <w:r>
        <w:t xml:space="preserve">Тор: целевой класс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e>
        </m:d>
      </m:oMath>
      <w:r>
        <w:t xml:space="preserve">; сертификат степени точен;</w:t>
      </w:r>
      <w:r>
        <w:t xml:space="preserve"> </w:t>
      </w:r>
      <w:r>
        <w:t xml:space="preserve">период-решётка</w:t>
      </w:r>
      <w:r>
        <w:t xml:space="preserve"> </w:t>
      </w:r>
      <m:oMath>
        <m:r>
          <m:rPr>
            <m:sty m:val="p"/>
            <m:scr m:val="double-struck"/>
          </m:rPr>
          <m:t>Z</m:t>
        </m:r>
        <m:r>
          <m:rPr>
            <m:sty m:val="p"/>
          </m:rPr>
          <m:t>+</m:t>
        </m:r>
        <m:r>
          <m:t>i</m:t>
        </m:r>
        <m:r>
          <m:rPr>
            <m:sty m:val="p"/>
            <m:scr m:val="double-struck"/>
          </m:rPr>
          <m:t>Z</m:t>
        </m:r>
      </m:oMath>
      <w:r>
        <w:t xml:space="preserve"> </w:t>
      </w:r>
      <w:r>
        <w:t xml:space="preserve">точна; сумма Абеля–Якоби</w:t>
      </w:r>
      <w:r>
        <w:t xml:space="preserve"> </w:t>
      </w:r>
      <m:oMath>
        <m:r>
          <m:t>5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32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/</m:t>
        </m:r>
        <m:r>
          <m:t>4</m:t>
        </m:r>
      </m:oMath>
      <w:r>
        <w:t xml:space="preserve">; вердикт: принят полностью.</w:t>
      </w:r>
      <w:r>
        <w:t xml:space="preserve"> </w:t>
      </w:r>
      <w:r>
        <w:t xml:space="preserve">K3: сигнатура cup-формы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19</m:t>
            </m:r>
          </m:e>
        </m:d>
      </m:oMath>
      <w:r>
        <w:t xml:space="preserve">;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измерение сертифицирует всю</w:t>
      </w:r>
      <w:r>
        <w:t xml:space="preserve"> </w:t>
      </w:r>
      <m:oMath>
        <m:r>
          <m:t>22</m:t>
        </m:r>
      </m:oMath>
      <w:r>
        <w:t xml:space="preserve">-мерную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; сборка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t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  <m:r>
              <m:t>t</m:t>
            </m:r>
          </m:e>
        </m:d>
      </m:oMath>
      <w:r>
        <w:t xml:space="preserve"> </w:t>
      </w:r>
      <w:r>
        <w:t xml:space="preserve">в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Q</m:t>
            </m:r>
          </m:e>
        </m:d>
      </m:oMath>
      <w:r>
        <w:t xml:space="preserve">; вердикт:</w:t>
      </w:r>
      <w:r>
        <w:t xml:space="preserve"> </w:t>
      </w:r>
      <w:r>
        <w:t xml:space="preserve">принят.</w:t>
      </w:r>
    </w:p>
    <w:p>
      <w:pPr>
        <w:pStyle w:val="FirstParagraph"/>
      </w:pPr>
      <w:r>
        <w:rPr>
          <w:i/>
          <w:iCs/>
        </w:rPr>
        <w:t xml:space="preserve">Замечание 2</w:t>
      </w:r>
      <w:r>
        <w:t xml:space="preserve"> </w:t>
      </w:r>
      <w:r>
        <w:t xml:space="preserve">(логика закрытия).</w:t>
      </w:r>
      <w:r>
        <w:t xml:space="preserve"> </w:t>
      </w:r>
      <w:r>
        <w:t xml:space="preserve"> </w:t>
      </w:r>
      <m:oMath>
        <m:r>
          <m:t>29</m:t>
        </m:r>
      </m:oMath>
      <w:r>
        <w:t xml:space="preserve"> </w:t>
      </w:r>
      <w:r>
        <w:t xml:space="preserve">соотношений — когомологические (структурно описаны индексом</w:t>
      </w:r>
      <w:r>
        <w:t xml:space="preserve"> </w:t>
      </w:r>
      <w:r>
        <w:t xml:space="preserve">Ходжа),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измерения — транцендентные (закрыты периодами).</w:t>
      </w:r>
      <w:r>
        <w:t xml:space="preserve"> </w:t>
      </w:r>
      <w:r>
        <w:t xml:space="preserve">Итого слепая зона</w:t>
      </w:r>
      <w:r>
        <w:t xml:space="preserve"> </w:t>
      </w:r>
      <m:oMath>
        <m:r>
          <m:t>29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сведена к нулю: каждое направление</w:t>
      </w:r>
      <w:r>
        <w:t xml:space="preserve"> </w:t>
      </w:r>
      <w:r>
        <w:t xml:space="preserve">когомологии либо измерено, либо структурно описано. Совпадение</w:t>
      </w:r>
      <w:r>
        <w:t xml:space="preserve"> </w:t>
      </w:r>
      <w:r>
        <w:t xml:space="preserve">множителя</w:t>
      </w:r>
      <w:r>
        <w:t xml:space="preserve"> </w:t>
      </w:r>
      <m:oMath>
        <m:r>
          <m:t>29</m:t>
        </m:r>
      </m:oMath>
      <w:r>
        <w:t xml:space="preserve"> </w:t>
      </w:r>
      <w:r>
        <w:t xml:space="preserve">с числом</w:t>
      </w:r>
      <w:r>
        <w:t xml:space="preserve"> </w:t>
      </w:r>
      <m:oMath>
        <m:r>
          <m:t>406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⋅</m:t>
        </m:r>
        <m:r>
          <m:t>29</m:t>
        </m:r>
      </m:oMath>
      <w:r>
        <w:t xml:space="preserve"> </w:t>
      </w:r>
      <w:r>
        <w:t xml:space="preserve">— независимое</w:t>
      </w:r>
      <w:r>
        <w:t xml:space="preserve"> </w:t>
      </w:r>
      <w:r>
        <w:t xml:space="preserve">наблюдение, фиксируемое как таковое.</w:t>
      </w:r>
    </w:p>
    <w:p>
      <w:pPr>
        <w:pStyle w:val="BlockText"/>
      </w:pPr>
      <w:r>
        <w:rPr>
          <w:b/>
          <w:bCs/>
        </w:rPr>
        <w:t xml:space="preserve">Сводка доказанного (итог).</w:t>
      </w:r>
      <w:r>
        <w:t xml:space="preserve"> </w:t>
      </w:r>
      <w:r>
        <w:t xml:space="preserve">Сертификат B принят: ядро</w:t>
      </w:r>
      <w:r>
        <w:t xml:space="preserve"> </w:t>
      </w:r>
      <m:oMath>
        <m:r>
          <m:t>29</m:t>
        </m:r>
      </m:oMath>
      <w:r>
        <w:t xml:space="preserve"> </w:t>
      </w:r>
      <w:r>
        <w:t xml:space="preserve">закрыто теоремой B1, транцендентные</w:t>
      </w:r>
      <w:r>
        <w:t xml:space="preserve"> </w:t>
      </w:r>
      <w:r>
        <w:t xml:space="preserve">направления — периодами; сборка класса точна в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Q</m:t>
            </m:r>
          </m:e>
        </m:d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Верификация (как воспроизвести).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«Сертификаты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B»:</w:t>
      </w:r>
      <w:r>
        <w:t xml:space="preserve"> </w:t>
      </w:r>
      <w:r>
        <w:t xml:space="preserve">сборка класса и Ходж-тест — секунды; отчёт JSON в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.</w:t>
      </w:r>
    </w:p>
    <w:p>
      <w:pPr>
        <w:pStyle w:val="FirstParagraph"/>
      </w:pP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Лицензия: индивидуальная исключительная лицензия Исаева Исхака Хамзатовича.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Все права на вычисления, формулы и тексты принадлежат автору.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Верификация: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python3 laboratory.py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(пункт «Стенды»/«Сертификаты»),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Lean: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verification/lean/HodgeLaboratory.lean</w:t>
      </w:r>
      <w:r>
        <w:rPr>
          <w:i/>
          <w:color w:val="707070"/>
          <w:sz w:val="18"/>
        </w:rPr>
        <w:t xml:space="preserve">.</w:t>
      </w:r>
      <w:r>
        <w:rPr>
          <w:i/>
          <w:color w:val="707070"/>
          <w:sz w:val="18"/>
        </w:rPr>
        <w:t xml:space="preserve"> </w:t>
      </w:r>
    </w:p>
    <w:bookmarkEnd w:id="21"/>
    <w:sectPr>
      <w:pgMar w:bottom="1361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4E79" w:space="6" w:sz="18" w:val="single"/>
      </w:pBdr>
      <w:shd w:fill="F4F6F9" w:val="clear"/>
      <w:spacing w:after="160" w:before="160" w:line="300" w:lineRule="auto"/>
      <w:ind w:firstLine="0" w:left="255" w:right="85"/>
      <w:jc w:val="both"/>
    </w:pPr>
    <w:rPr>
      <w:rFonts w:ascii="Times New Roman" w:cs="Times New Roman" w:eastAsia="Times New Roman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/>
      <w:color w:val="555555"/>
      <w:sz w:val="19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Сертификат B: закрытие ядра 29</dc:title>
  <dc:creator>Исаев Исхак Хамзатович</dc:creator>
  <dc:language>ru-RU</dc:language>
  <cp:keywords>hodge-laboratory, theorem monograph, RU</cp:keywords>
  <dcterms:created xsi:type="dcterms:W3CDTF">2026-09-23T16:56:52Z</dcterms:created>
  <dcterms:modified xsi:type="dcterms:W3CDTF">2026-09-23T16:56:52Z</dcterms:modified>
  <dc:subject>Standalone theorem monograph 10/16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