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Certificate G: Hodge Lattice Indices</w:t>
      </w:r>
    </w:p>
    <w:p>
      <w:pPr>
        <w:jc w:val="center"/>
      </w:pPr>
      <w:r>
        <w:rPr>
          <w:b w:val="0"/>
          <w:i w:val="0"/>
          <w:color w:val="404040"/>
          <w:sz w:val="26"/>
        </w:rPr>
        <w:t>lattice spectra, CM fractions, and the Chowla–Selberg layer</w:t>
      </w:r>
    </w:p>
    <w:p>
      <w:pPr>
        <w:jc w:val="center"/>
      </w:pPr>
      <w:r>
        <w:rPr>
          <w:b/>
          <w:i w:val="0"/>
          <w:color w:val="202020"/>
          <w:sz w:val="23"/>
        </w:rPr>
        <w:t>Isaev Iskhak Khamzatovich</w:t>
      </w:r>
    </w:p>
    <w:p>
      <w:pPr>
        <w:jc w:val="center"/>
      </w:pPr>
      <w:r>
        <w:rPr>
          <w:b w:val="0"/>
          <w:i w:val="0"/>
          <w:color w:val="666666"/>
          <w:sz w:val="19"/>
        </w:rPr>
        <w:t>The «Dynamic Principle» Program — the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Standalone theorem monograph · Монография 15/16</w:t>
      </w:r>
    </w:p>
    <w:bookmarkStart w:id="21" w:name="setting"/>
    <w:p>
      <w:pPr>
        <w:pStyle w:val="Heading1"/>
      </w:pPr>
      <w:r>
        <w:t xml:space="preserve">Setting</w:t>
      </w:r>
    </w:p>
    <w:p>
      <w:pPr>
        <w:pStyle w:val="FirstParagraph"/>
      </w:pPr>
      <w:r>
        <w:t xml:space="preserve">Certificate G provides the universal normalization of the spectrum</w:t>
      </w:r>
      <w:r>
        <w:t xml:space="preserve"> </w:t>
      </w:r>
      <w:r>
        <w:t xml:space="preserve">of an arbitrary lattice and computes Hodge lattice indices in</w:t>
      </w:r>
      <w:r>
        <w:t xml:space="preserve"> </w:t>
      </w:r>
      <w:r>
        <w:t xml:space="preserve">number fields — the bridge from integer geometry to the</w:t>
      </w:r>
      <w:r>
        <w:t xml:space="preserve"> </w:t>
      </w:r>
      <m:oMath>
        <m:r>
          <m:t>Γ</m:t>
        </m:r>
      </m:oMath>
      <w:r>
        <w:t xml:space="preserve">-levels of certificate H.</w:t>
      </w:r>
    </w:p>
    <w:bookmarkStart w:id="20" w:name="th:Gstand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(G1–G6).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Universal spectrum: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π</m:t>
                </m:r>
              </m:e>
            </m:d>
          </m:e>
          <m:sup>
            <m:r>
              <m:t>2</m:t>
            </m:r>
          </m:sup>
        </m:sSup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m</m:t>
                </m:r>
                <m:r>
                  <m:t>τ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Im</m:t>
                </m:r>
                <m:r>
                  <m:t>τ</m:t>
                </m:r>
              </m:e>
            </m:d>
          </m:e>
          <m:sup>
            <m:r>
              <m:t>2</m:t>
            </m:r>
          </m:sup>
        </m:sSup>
      </m:oMath>
      <w:r>
        <w:rPr>
          <w:i/>
          <w:iCs/>
        </w:rPr>
        <w:t xml:space="preserve">; the factor</w:t>
      </w:r>
      <w:r>
        <w:rPr>
          <w:i/>
          <w:iCs/>
        </w:rP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is the universal Tate twist.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For reduced lattices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Im</m:t>
                </m:r>
                <m:r>
                  <m:t>τ</m:t>
                </m:r>
              </m:e>
            </m:d>
          </m:e>
          <m:sup>
            <m:r>
              <m:t>2</m:t>
            </m:r>
          </m:sup>
        </m:sSup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for CM fields — exact fractions: the families</w:t>
      </w:r>
      <w:r>
        <w:rPr>
          <w:i/>
          <w:iCs/>
        </w:rPr>
        <w:t xml:space="preserve"> </w:t>
      </w:r>
      <m:oMath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</m:oMath>
      <w:r>
        <w:rPr>
          <w:i/>
          <w:iCs/>
        </w:rPr>
        <w:t xml:space="preserve">. The levels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are spectral units of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15</m:t>
                </m:r>
              </m:e>
            </m:rad>
          </m:e>
        </m:d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30</m:t>
                </m:r>
              </m:e>
            </m:rad>
          </m:e>
        </m:d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π</m:t>
            </m:r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rPr>
          <w:i/>
          <w:iCs/>
        </w:rPr>
        <w:t xml:space="preserve">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Indices in number fields are recovered with uniqueness</w:t>
      </w:r>
      <w:r>
        <w:rPr>
          <w:i/>
          <w:iCs/>
        </w:rPr>
        <w:t xml:space="preserve"> </w:t>
      </w:r>
      <m:oMath>
        <m:r>
          <m:t>2</m:t>
        </m:r>
        <m:r>
          <m:t>ε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Q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(field-LLL with the triple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rPr>
          <w:i/>
          <w:iCs/>
        </w:rPr>
        <w:t xml:space="preserve">).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Chowla–Selberg layer:</w:t>
      </w:r>
      <w:r>
        <w:rPr>
          <w:i/>
          <w:iCs/>
        </w:rPr>
        <w:t xml:space="preserve"> </w:t>
      </w:r>
      <m:oMath>
        <m:r>
          <m:t>ω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Γ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16</m:t>
            </m:r>
            <m:r>
              <m:t>π</m:t>
            </m:r>
          </m:e>
        </m:d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m:oMath>
        <m:r>
          <m:t>ω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τ</m:t>
                    </m:r>
                  </m:e>
                  <m:sub>
                    <m:r>
                      <m:t>7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num>
          <m:den>
            <m:r>
              <m:t>896</m:t>
            </m:r>
          </m:den>
        </m:f>
        <m:r>
          <m:rPr>
            <m:sty m:val="p"/>
          </m:rPr>
          <m:t>[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7</m:t>
                </m:r>
              </m:den>
            </m:f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7</m:t>
                </m:r>
              </m:den>
            </m:f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7</m:t>
                </m:r>
              </m:den>
            </m:f>
          </m:e>
        </m:d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m:oMath>
        <m:r>
          <m:t>ω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τ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rad>
          </m:num>
          <m:den>
            <m:r>
              <m:t>8</m:t>
            </m:r>
          </m:den>
        </m:f>
        <m:r>
          <m:t>Γ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6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2</m:t>
                </m:r>
              </m:e>
              <m:sup>
                <m:r>
                  <m:t>8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e>
        </m:d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15</m:t>
        </m:r>
      </m:oMath>
      <w:r>
        <w:rPr>
          <w:i/>
          <w:iCs/>
        </w:rPr>
        <w:t xml:space="preserve">: the</w:t>
      </w:r>
      <w:r>
        <w:rPr>
          <w:i/>
          <w:iCs/>
        </w:rPr>
        <w:t xml:space="preserve"> </w:t>
      </w:r>
      <m:oMath>
        <m:r>
          <m:t>j</m:t>
        </m:r>
      </m:oMath>
      <w:r>
        <w:rPr>
          <w:i/>
          <w:iCs/>
        </w:rPr>
        <w:t xml:space="preserve">-pair in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endChr m:val=")"/>
                <m:sepChr m:val="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rPr>
          <w:i/>
          <w:iCs/>
        </w:rPr>
        <w:t xml:space="preserve">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K3 bridge: the quadrant integral</w:t>
      </w:r>
      <w:r>
        <w:rPr>
          <w:i/>
          <w:iCs/>
        </w:rPr>
        <w:t xml:space="preserve"> </w:t>
      </w:r>
      <m:oMath>
        <m:r>
          <m:t>Γ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16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rPr>
          <w:i/>
          <w:iCs/>
        </w:rPr>
        <w:t xml:space="preserve">; the index</w:t>
      </w:r>
      <w:r>
        <w:rPr>
          <w:i/>
          <w:i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/</m:t>
        </m:r>
        <m:r>
          <m:t>32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in the</w:t>
      </w:r>
      <w:r>
        <w:rPr>
          <w:i/>
          <w:iCs/>
        </w:rPr>
        <w:t xml:space="preserve"> </w:t>
      </w:r>
      <m:oMath>
        <m:r>
          <m:t>Γ</m:t>
        </m:r>
      </m:oMath>
      <w:r>
        <w:rPr>
          <w:i/>
          <w:iCs/>
        </w:rPr>
        <w:t xml:space="preserve">-scale.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-quantum ladder: quantum</w:t>
      </w:r>
      <w:r>
        <w:rPr>
          <w:i/>
          <w:iCs/>
        </w:rPr>
        <w:t xml:space="preserve"> </w:t>
      </w:r>
      <m:oMath>
        <m:r>
          <m:t>2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rPr>
          <w:i/>
          <w:iCs/>
        </w:rPr>
        <w:t xml:space="preserve">, spin half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N</m:t>
        </m:r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the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rung;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the next rungs.</w:t>
      </w:r>
    </w:p>
    <w:bookmarkEnd w:id="20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(G1) The flat Laplacian on the elliptic curve with lattice</w:t>
      </w:r>
      <w:r>
        <w:t xml:space="preserve"> </w:t>
      </w:r>
      <m:oMath>
        <m:r>
          <m:rPr>
            <m:sty m:val="p"/>
            <m:scr m:val="double-struck"/>
          </m:rPr>
          <m:t>Z</m:t>
        </m:r>
        <m:r>
          <m:t>τ</m:t>
        </m:r>
        <m:r>
          <m:rPr>
            <m:sty m:val="p"/>
          </m:rPr>
          <m:t>+</m:t>
        </m:r>
        <m:r>
          <m:rPr>
            <m:sty m:val="p"/>
            <m:scr m:val="double-struck"/>
          </m:rPr>
          <m:t>Z</m:t>
        </m:r>
      </m:oMath>
      <w:r>
        <w:t xml:space="preserve">: eigenvalues</w:t>
      </w:r>
      <w:r>
        <w:t xml:space="preserve"> </w:t>
      </w:r>
      <m:oMath>
        <m:r>
          <m:rPr>
            <m:sty m:val="p"/>
          </m:rPr>
          <m:t>∝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m</m:t>
                </m:r>
                <m:r>
                  <m:t>τ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t xml:space="preserve">; normalization by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π</m:t>
                </m:r>
              </m:e>
            </m:d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(G2) For a reduced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the minimum</w:t>
      </w:r>
      <w: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m</m:t>
                </m:r>
                <m:r>
                  <m:t>τ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attained at</w:t>
      </w:r>
      <w:r>
        <w:t xml:space="preserve"> </w:t>
      </w:r>
      <w:r>
        <w:t xml:space="preserve">the shortest vector; the CM case: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d</m:t>
            </m:r>
          </m:e>
        </m:rad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d</m:t>
                </m:r>
              </m:e>
            </m:rad>
          </m:num>
          <m:den>
            <m:r>
              <m:t>2</m:t>
            </m:r>
          </m:den>
        </m:f>
      </m:oMath>
      <w:r>
        <w:t xml:space="preserve">, the fraction unfolds into the exact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by the shortest-vector classification;</w:t>
      </w:r>
      <w:r>
        <w:t xml:space="preserve"> </w:t>
      </w:r>
      <w:r>
        <w:t xml:space="preserve">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the norm computation gives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π</m:t>
            </m:r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15</m:t>
        </m:r>
      </m:oMath>
      <w:r>
        <w:t xml:space="preserve">.</w:t>
      </w:r>
      <w:r>
        <w:t xml:space="preserve"> </w:t>
      </w:r>
      <w:r>
        <w:t xml:space="preserve">(G3) The field separation is bounded below via the discriminant;</w:t>
      </w:r>
      <w:r>
        <w:t xml:space="preserve"> </w:t>
      </w:r>
      <w:r>
        <w:t xml:space="preserve">LLL in the basis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t xml:space="preserve"> </w:t>
      </w:r>
      <w:r>
        <w:t xml:space="preserve">is unique at</w:t>
      </w:r>
      <w:r>
        <w:t xml:space="preserve"> </w:t>
      </w:r>
      <m:oMath>
        <m:r>
          <m:t>2</m:t>
        </m:r>
        <m:r>
          <m:t>ε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Q</m:t>
        </m:r>
      </m:oMath>
      <w:r>
        <w:t xml:space="preserve">; the</w:t>
      </w:r>
      <w:r>
        <w:t xml:space="preserve"> </w:t>
      </w:r>
      <w:r>
        <w:t xml:space="preserve">recovery residual</w:t>
      </w:r>
      <w:r>
        <w:t xml:space="preserve"> </w:t>
      </w:r>
      <m:oMath>
        <m:r>
          <m:t>2.31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102</m:t>
            </m:r>
          </m:sup>
        </m:sSup>
      </m:oMath>
      <w:r>
        <w:t xml:space="preserve">.</w:t>
      </w:r>
      <w:r>
        <w:t xml:space="preserve"> </w:t>
      </w:r>
      <w:r>
        <w:t xml:space="preserve">(G4) Chowla–Selberg: the squared period is a</w:t>
      </w:r>
      <w:r>
        <w:t xml:space="preserve"> </w:t>
      </w:r>
      <m:oMath>
        <m:r>
          <m:t>Γ</m:t>
        </m:r>
      </m:oMath>
      <w:r>
        <w:t xml:space="preserve">-monomial with</w:t>
      </w:r>
      <w:r>
        <w:t xml:space="preserve"> </w:t>
      </w:r>
      <w:r>
        <w:t xml:space="preserve">rational exponents; all identities verified with residuals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100</m:t>
            </m:r>
          </m:sup>
        </m:sSup>
      </m:oMath>
      <w:r>
        <w:t xml:space="preserve">.</w:t>
      </w:r>
      <w:r>
        <w:t xml:space="preserve"> </w:t>
      </w:r>
      <w:r>
        <w:t xml:space="preserve">(G5) The quadrant split and a change of variables give the exact</w:t>
      </w:r>
      <w:r>
        <w:t xml:space="preserve"> </w:t>
      </w:r>
      <w:r>
        <w:t xml:space="preserve">value; residual</w:t>
      </w:r>
      <w:r>
        <w:t xml:space="preserve"> </w:t>
      </w:r>
      <m:oMath>
        <m:r>
          <m:t>3.92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43</m:t>
            </m:r>
          </m:sup>
        </m:sSup>
      </m:oMath>
      <w:r>
        <w:t xml:space="preserve">.</w:t>
      </w:r>
      <w:r>
        <w:t xml:space="preserve"> </w:t>
      </w:r>
      <w:r>
        <w:t xml:space="preserve">(G6) The spin half follows from the double cover; the ladder agrees</w:t>
      </w:r>
      <w:r>
        <w:t xml:space="preserve"> </w:t>
      </w:r>
      <w:r>
        <w:t xml:space="preserve">with the stand triples. ◻</w:t>
      </w:r>
    </w:p>
    <w:p>
      <w:pPr>
        <w:pStyle w:val="BlockText"/>
      </w:pPr>
      <w:r>
        <w:rPr>
          <w:b/>
          <w:bCs/>
        </w:rPr>
        <w:t xml:space="preserve">Protocol data (numbers).</w:t>
      </w:r>
      <w:r>
        <w:t xml:space="preserve"> </w:t>
      </w:r>
      <w:r>
        <w:t xml:space="preserve">The non-CM test: the minimal polynomial</w:t>
      </w:r>
      <w: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— field-LLL</w:t>
      </w:r>
      <w:r>
        <w:t xml:space="preserve"> </w:t>
      </w:r>
      <w:r>
        <w:t xml:space="preserve">distinguishes CM from non-CM. Field-LLL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15</m:t>
        </m:r>
      </m:oMath>
      <w:r>
        <w:t xml:space="preserve">: the recovery of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>
              <m:t>5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15</m:t>
                </m:r>
              </m:e>
            </m:rad>
          </m:num>
          <m:den>
            <m:r>
              <m:t>8</m:t>
            </m:r>
          </m:den>
        </m:f>
      </m:oMath>
      <w:r>
        <w:t xml:space="preserve">. The spectral fractions confirmed on the</w:t>
      </w:r>
      <w:r>
        <w:t xml:space="preserve"> </w:t>
      </w:r>
      <w:r>
        <w:t xml:space="preserve">nine G1 lattices; the families</w:t>
      </w:r>
      <w:r>
        <w:t xml:space="preserve"> </w:t>
      </w:r>
      <m:oMath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</m:oMath>
      <w:r>
        <w:t xml:space="preserve">,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— exact.</w:t>
      </w:r>
    </w:p>
    <w:p>
      <w:pPr>
        <w:pStyle w:val="BlockText"/>
      </w:pPr>
      <w:r>
        <w:rPr>
          <w:b/>
          <w:bCs/>
        </w:rPr>
        <w:t xml:space="preserve">Summary of results (summary).</w:t>
      </w:r>
      <w:r>
        <w:t xml:space="preserve"> </w:t>
      </w:r>
      <w:r>
        <w:t xml:space="preserve">Certificate G accepted (</w:t>
      </w:r>
      <m:oMath>
        <m:r>
          <m:t>6</m:t>
        </m:r>
        <m:r>
          <m:rPr>
            <m:sty m:val="p"/>
          </m:rPr>
          <m:t>/</m:t>
        </m:r>
        <m:r>
          <m:t>6</m:t>
        </m:r>
      </m:oMath>
      <w:r>
        <w:t xml:space="preserve">): the universal normalization, exact</w:t>
      </w:r>
      <w:r>
        <w:t xml:space="preserve"> </w:t>
      </w:r>
      <w:r>
        <w:t xml:space="preserve">fractionality, field-LLL, the Chowla–Selberg layer, the K3 bridge,</w:t>
      </w:r>
      <w:r>
        <w:t xml:space="preserve"> </w:t>
      </w:r>
      <w:r>
        <w:t xml:space="preserve">the ladder — all points certified.</w:t>
      </w:r>
    </w:p>
    <w:p>
      <w:pPr>
        <w:pStyle w:val="BlockText"/>
      </w:pPr>
      <w:r>
        <w:rPr>
          <w:b/>
          <w:bCs/>
        </w:rPr>
        <w:t xml:space="preserve">Verification (reproduction).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“</w:t>
      </w:r>
      <w:r>
        <w:t xml:space="preserve">Certificates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G</w:t>
      </w:r>
      <w:r>
        <w:t xml:space="preserve">”</w:t>
      </w:r>
      <w:r>
        <w:t xml:space="preserve">; the</w:t>
      </w:r>
      <w:r>
        <w:t xml:space="preserve"> </w:t>
      </w:r>
      <w:r>
        <w:t xml:space="preserve">designer: an arbitrary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the lab computes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r>
        <w:t xml:space="preserve">prints the fraction.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License: individual exclusive license of Isaev Iskhak Khamzatovich.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All rights to the computations, formulas, and texts belong to the author.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Verification: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Stands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/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Certificates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1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G: Hodge Lattice Indices</dc:title>
  <dc:creator>Isaev Iskhak Khamzatovich</dc:creator>
  <dc:language>en-US</dc:language>
  <cp:keywords>hodge-laboratory, theorem monograph, EN</cp:keywords>
  <dcterms:created xsi:type="dcterms:W3CDTF">2026-09-23T16:56:52Z</dcterms:created>
  <dcterms:modified xsi:type="dcterms:W3CDTF">2026-09-23T16:56:52Z</dcterms:modified>
  <dc:subject>Standalone theorem monograph 15/16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