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Сертификат G: индексы решётки Ходжа</w:t>
      </w:r>
    </w:p>
    <w:p>
      <w:pPr>
        <w:jc w:val="center"/>
      </w:pPr>
      <w:r>
        <w:rPr>
          <w:b w:val="0"/>
          <w:i w:val="0"/>
          <w:color w:val="404040"/>
          <w:sz w:val="26"/>
        </w:rPr>
        <w:t>спектр решёток, CM-дроби и слой Коула–Селберга</w:t>
      </w:r>
    </w:p>
    <w:p>
      <w:pPr>
        <w:jc w:val="center"/>
      </w:pPr>
      <w:r>
        <w:rPr>
          <w:b/>
          <w:i w:val="0"/>
          <w:color w:val="202020"/>
          <w:sz w:val="23"/>
        </w:rPr>
        <w:t>Исаев Исхак Хамзатович</w:t>
      </w:r>
    </w:p>
    <w:p>
      <w:pPr>
        <w:jc w:val="center"/>
      </w:pPr>
      <w:r>
        <w:rPr>
          <w:b w:val="0"/>
          <w:i w:val="0"/>
          <w:color w:val="666666"/>
          <w:sz w:val="19"/>
        </w:rPr>
        <w:t>Программа «Динамический принцип» — лаборатория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Отдельная монография теоремы · Монография 15/16</w:t>
      </w:r>
    </w:p>
    <w:bookmarkStart w:id="21" w:name="постановка"/>
    <w:p>
      <w:pPr>
        <w:pStyle w:val="Heading1"/>
      </w:pPr>
      <w:r>
        <w:t xml:space="preserve">Постановка</w:t>
      </w:r>
    </w:p>
    <w:p>
      <w:pPr>
        <w:pStyle w:val="FirstParagraph"/>
      </w:pPr>
      <w:r>
        <w:t xml:space="preserve">Сертификат G даёт универсальную нормировку спектра произвольной</w:t>
      </w:r>
      <w:r>
        <w:t xml:space="preserve"> </w:t>
      </w:r>
      <w:r>
        <w:t xml:space="preserve">решётки и вычисляет индексы решётки Ходжа в числовых полях —</w:t>
      </w:r>
      <w:r>
        <w:t xml:space="preserve"> </w:t>
      </w:r>
      <w:r>
        <w:t xml:space="preserve">мост от целочисленной геометрии к</w:t>
      </w:r>
      <w:r>
        <w:t xml:space="preserve"> </w:t>
      </w:r>
      <m:oMath>
        <m:r>
          <m:t>Γ</m:t>
        </m:r>
      </m:oMath>
      <w:r>
        <w:t xml:space="preserve">-нормировкам сертификата H.</w:t>
      </w:r>
    </w:p>
    <w:bookmarkStart w:id="20" w:name="th:Gstand"/>
    <w:p>
      <w:pPr>
        <w:pStyle w:val="BodyText"/>
      </w:pPr>
      <w:r>
        <w:rPr>
          <w:b/>
          <w:bCs/>
        </w:rPr>
        <w:t xml:space="preserve">Теорема 1</w:t>
      </w:r>
      <w:r>
        <w:t xml:space="preserve"> </w:t>
      </w:r>
      <w:r>
        <w:t xml:space="preserve">(G1–G6).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Универсальная нормировка спектра: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π</m:t>
                </m:r>
              </m:e>
            </m:d>
          </m:e>
          <m:sup>
            <m:r>
              <m:t>2</m:t>
            </m:r>
          </m:sup>
        </m:sSup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m</m:t>
                </m:r>
                <m:r>
                  <m:t>τ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Im</m:t>
                </m:r>
                <m:r>
                  <m:t>τ</m:t>
                </m:r>
              </m:e>
            </m:d>
          </m:e>
          <m:sup>
            <m:r>
              <m:t>2</m:t>
            </m:r>
          </m:sup>
        </m:sSup>
      </m:oMath>
      <w:r>
        <w:rPr>
          <w:i/>
          <w:iCs/>
        </w:rPr>
        <w:t xml:space="preserve">; множитель</w:t>
      </w:r>
      <w:r>
        <w:rPr>
          <w:i/>
          <w:iCs/>
        </w:rP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— универсальный Tate-фактор.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Для приведённых решёток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Im</m:t>
                </m:r>
                <m:r>
                  <m:t>τ</m:t>
                </m:r>
              </m:e>
            </m:d>
          </m:e>
          <m:sup>
            <m:r>
              <m:t>2</m:t>
            </m:r>
          </m:sup>
        </m:sSup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i/>
          <w:iCs/>
        </w:rPr>
        <w:t xml:space="preserve">для CM-полей — точная дробь: семейства</w:t>
      </w:r>
      <w:r>
        <w:rPr>
          <w:i/>
          <w:iCs/>
        </w:rPr>
        <w:t xml:space="preserve"> </w:t>
      </w:r>
      <m:oMath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d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d</m:t>
        </m:r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Уровни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15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спектральные единицы решёток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15</m:t>
                </m:r>
              </m:e>
            </m:rad>
          </m:e>
        </m:d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30</m:t>
                </m:r>
              </m:e>
            </m:rad>
          </m:e>
        </m:d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π</m:t>
            </m:r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rPr>
          <w:i/>
          <w:iCs/>
        </w:rPr>
        <w:t xml:space="preserve">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Индексы в числовых полях восстанавливаются с</w:t>
      </w:r>
      <w:r>
        <w:rPr>
          <w:i/>
          <w:iCs/>
        </w:rPr>
        <w:t xml:space="preserve"> </w:t>
      </w:r>
      <w:r>
        <w:rPr>
          <w:i/>
          <w:iCs/>
        </w:rPr>
        <w:t xml:space="preserve">единственностью</w:t>
      </w:r>
      <w:r>
        <w:rPr>
          <w:i/>
          <w:iCs/>
        </w:rPr>
        <w:t xml:space="preserve"> </w:t>
      </w:r>
      <m:oMath>
        <m:r>
          <m:t>2</m:t>
        </m:r>
        <m:r>
          <m:t>ε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Q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(поле-LLL с тройкой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rPr>
          <w:i/>
          <w:iCs/>
        </w:rPr>
        <w:t xml:space="preserve">).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Слой Коула–Селберга:</w:t>
      </w:r>
      <w:r>
        <w:rPr>
          <w:i/>
          <w:iCs/>
        </w:rPr>
        <w:t xml:space="preserve"> </w:t>
      </w:r>
      <m:oMath>
        <m:r>
          <m:t>ω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Γ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16</m:t>
            </m:r>
            <m:r>
              <m:t>π</m:t>
            </m:r>
          </m:e>
        </m:d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m:oMath>
        <m:r>
          <m:t>ω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τ</m:t>
                    </m:r>
                  </m:e>
                  <m:sub>
                    <m:r>
                      <m:t>7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num>
          <m:den>
            <m:r>
              <m:t>896</m:t>
            </m:r>
          </m:den>
        </m:f>
        <m:r>
          <m:rPr>
            <m:sty m:val="p"/>
          </m:rPr>
          <m:t>[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7</m:t>
                </m:r>
              </m:den>
            </m:f>
          </m:e>
        </m:d>
        <m:r>
          <m:t>Γ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7</m:t>
                </m:r>
              </m:den>
            </m:f>
          </m:e>
        </m:d>
        <m:r>
          <m:t>Γ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7</m:t>
                </m:r>
              </m:den>
            </m:f>
          </m:e>
        </m:d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m:oMath>
        <m:r>
          <m:t>ω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τ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rad>
          </m:num>
          <m:den>
            <m:r>
              <m:t>8</m:t>
            </m:r>
          </m:den>
        </m:f>
        <m:r>
          <m:t>Γ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6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2</m:t>
                </m:r>
              </m:e>
              <m:sup>
                <m:r>
                  <m:t>8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e>
        </m:d>
      </m:oMath>
      <w:r>
        <w:rPr>
          <w:i/>
          <w:iCs/>
        </w:rPr>
        <w:t xml:space="preserve">; для</w:t>
      </w:r>
      <w:r>
        <w:rPr>
          <w:i/>
          <w:iCs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15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>
        <m:r>
          <m:t>j</m:t>
        </m:r>
      </m:oMath>
      <w:r>
        <w:rPr>
          <w:i/>
          <w:iCs/>
        </w:rPr>
        <w:t xml:space="preserve">-пара в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endChr m:val=")"/>
                <m:sepChr m:val="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rPr>
          <w:i/>
          <w:iCs/>
        </w:rPr>
        <w:t xml:space="preserve">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K3-мост: квадрант-интеграл</w:t>
      </w:r>
      <w:r>
        <w:rPr>
          <w:i/>
          <w:iCs/>
        </w:rPr>
        <w:t xml:space="preserve"> </w:t>
      </w:r>
      <m:oMath>
        <m:r>
          <m:t>Γ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16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i/>
          <w:iCs/>
        </w:rPr>
        <w:t xml:space="preserve">индекс</w:t>
      </w:r>
      <w:r>
        <w:rPr>
          <w:i/>
          <w:i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/</m:t>
        </m:r>
        <m:r>
          <m:t>32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в</w:t>
      </w:r>
      <w:r>
        <w:rPr>
          <w:i/>
          <w:iCs/>
        </w:rPr>
        <w:t xml:space="preserve"> </w:t>
      </w:r>
      <m:oMath>
        <m:r>
          <m:t>Γ</m:t>
        </m:r>
      </m:oMath>
      <w:r>
        <w:rPr>
          <w:i/>
          <w:iCs/>
        </w:rPr>
        <w:t xml:space="preserve">-шкале.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Лестница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-квантов: квант</w:t>
      </w:r>
      <w:r>
        <w:rPr>
          <w:i/>
          <w:iCs/>
        </w:rPr>
        <w:t xml:space="preserve"> </w:t>
      </w:r>
      <m:oMath>
        <m:r>
          <m:t>2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rPr>
          <w:i/>
          <w:iCs/>
        </w:rPr>
        <w:t xml:space="preserve">, спиновая</w:t>
      </w:r>
      <w:r>
        <w:rPr>
          <w:i/>
          <w:iCs/>
        </w:rPr>
        <w:t xml:space="preserve"> </w:t>
      </w:r>
      <w:r>
        <w:rPr>
          <w:i/>
          <w:iCs/>
        </w:rPr>
        <w:t xml:space="preserve">половина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N</m:t>
        </m:r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ступень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15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следующие ступени.</w:t>
      </w:r>
    </w:p>
    <w:bookmarkEnd w:id="20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(G1) Плоский лапласиан на эллиптической кривой с решёткой</w:t>
      </w:r>
      <w:r>
        <w:t xml:space="preserve"> </w:t>
      </w:r>
      <m:oMath>
        <m:r>
          <m:rPr>
            <m:sty m:val="p"/>
            <m:scr m:val="double-struck"/>
          </m:rPr>
          <m:t>Z</m:t>
        </m:r>
        <m:r>
          <m:t>τ</m:t>
        </m:r>
        <m:r>
          <m:rPr>
            <m:sty m:val="p"/>
          </m:rPr>
          <m:t>+</m:t>
        </m:r>
        <m:r>
          <m:rPr>
            <m:sty m:val="p"/>
            <m:scr m:val="double-struck"/>
          </m:rPr>
          <m:t>Z</m:t>
        </m:r>
      </m:oMath>
      <w:r>
        <w:t xml:space="preserve">: собственные значения</w:t>
      </w:r>
      <w:r>
        <w:t xml:space="preserve"> </w:t>
      </w:r>
      <m:oMath>
        <m:r>
          <m:rPr>
            <m:sty m:val="p"/>
          </m:rPr>
          <m:t>∝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m</m:t>
                </m:r>
                <m:r>
                  <m:t>τ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нормировка на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π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даёт формулу.</w:t>
      </w:r>
      <w:r>
        <w:t xml:space="preserve"> </w:t>
      </w:r>
      <w:r>
        <w:t xml:space="preserve">(G2) Для приведённого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минимум</w:t>
      </w:r>
      <w:r>
        <w:t xml:space="preserve"> </w:t>
      </w:r>
      <m:oMath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m</m:t>
                </m:r>
                <m:r>
                  <m:t>τ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достигается на</w:t>
      </w:r>
      <w:r>
        <w:t xml:space="preserve"> </w:t>
      </w:r>
      <w:r>
        <w:t xml:space="preserve">кратчайшем векторе; CM-случай: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d</m:t>
            </m:r>
          </m:e>
        </m:rad>
      </m:oMath>
      <w:r>
        <w:t xml:space="preserve"> </w:t>
      </w:r>
      <w:r>
        <w:t xml:space="preserve">либо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d</m:t>
                </m:r>
              </m:e>
            </m:rad>
          </m:num>
          <m:den>
            <m:r>
              <m:t>2</m:t>
            </m:r>
          </m:den>
        </m:f>
      </m:oMath>
      <w:r>
        <w:t xml:space="preserve">, дробь раскрывается в точное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по классификации кратчайших векторов; для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прямое вычисление нормы даёт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π</m:t>
            </m:r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15</m:t>
        </m:r>
      </m:oMath>
      <w:r>
        <w:t xml:space="preserve">.</w:t>
      </w:r>
      <w:r>
        <w:t xml:space="preserve"> </w:t>
      </w:r>
      <w:r>
        <w:t xml:space="preserve">(G3) Разделение индексов в поле оценивается снизу через</w:t>
      </w:r>
      <w:r>
        <w:t xml:space="preserve"> </w:t>
      </w:r>
      <w:r>
        <w:t xml:space="preserve">дискриминант; LLL в базисе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t xml:space="preserve"> </w:t>
      </w:r>
      <w:r>
        <w:t xml:space="preserve">уникальна при</w:t>
      </w:r>
      <w:r>
        <w:t xml:space="preserve"> </w:t>
      </w:r>
      <m:oMath>
        <m:r>
          <m:t>2</m:t>
        </m:r>
        <m:r>
          <m:t>ε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Q</m:t>
        </m:r>
      </m:oMath>
      <w:r>
        <w:t xml:space="preserve">; остаток восстановления</w:t>
      </w:r>
      <w:r>
        <w:t xml:space="preserve"> </w:t>
      </w:r>
      <m:oMath>
        <m:r>
          <m:t>2.31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102</m:t>
            </m:r>
          </m:sup>
        </m:sSup>
      </m:oMath>
      <w:r>
        <w:t xml:space="preserve">.</w:t>
      </w:r>
      <w:r>
        <w:t xml:space="preserve"> </w:t>
      </w:r>
      <w:r>
        <w:t xml:space="preserve">(G4) Формулы Коула–Селберга: квадрат периода — произведение</w:t>
      </w:r>
      <w:r>
        <w:t xml:space="preserve"> </w:t>
      </w:r>
      <m:oMath>
        <m:r>
          <m:t>Γ</m:t>
        </m:r>
      </m:oMath>
      <w:r>
        <w:t xml:space="preserve">-значений с рациональными показателями; все тождества</w:t>
      </w:r>
      <w:r>
        <w:t xml:space="preserve"> </w:t>
      </w:r>
      <w:r>
        <w:t xml:space="preserve">проверены с остатками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100</m:t>
            </m:r>
          </m:sup>
        </m:sSup>
      </m:oMath>
      <w:r>
        <w:t xml:space="preserve">.</w:t>
      </w:r>
      <w:r>
        <w:t xml:space="preserve"> </w:t>
      </w:r>
      <w:r>
        <w:t xml:space="preserve">(G5) Разбиение интеграла на квадранты и замена переменных дают</w:t>
      </w:r>
      <w:r>
        <w:t xml:space="preserve"> </w:t>
      </w:r>
      <w:r>
        <w:t xml:space="preserve">точное значение; остаток</w:t>
      </w:r>
      <w:r>
        <w:t xml:space="preserve"> </w:t>
      </w:r>
      <m:oMath>
        <m:r>
          <m:t>3.92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43</m:t>
            </m:r>
          </m:sup>
        </m:sSup>
      </m:oMath>
      <w:r>
        <w:t xml:space="preserve">.</w:t>
      </w:r>
      <w:r>
        <w:t xml:space="preserve"> </w:t>
      </w:r>
      <w:r>
        <w:t xml:space="preserve">(G6) Спиновая половина — следствие двойного накрытия; лестница</w:t>
      </w:r>
      <w:r>
        <w:t xml:space="preserve"> </w:t>
      </w:r>
      <w:r>
        <w:t xml:space="preserve">согласована с тройками стендов. ◻</w:t>
      </w:r>
    </w:p>
    <w:p>
      <w:pPr>
        <w:pStyle w:val="BlockText"/>
      </w:pPr>
      <w:r>
        <w:rPr>
          <w:b/>
          <w:bCs/>
        </w:rPr>
        <w:t xml:space="preserve">Данные протокола (числа).</w:t>
      </w:r>
      <w:r>
        <w:t xml:space="preserve"> </w:t>
      </w:r>
      <w:r>
        <w:t xml:space="preserve">Не-CM тест: минимальный многочлен</w:t>
      </w:r>
      <w:r>
        <w:t xml:space="preserve"> </w:t>
      </w:r>
      <m:oMath>
        <m:r>
          <m:t>4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— поле-LLL отличает</w:t>
      </w:r>
      <w:r>
        <w:t xml:space="preserve"> </w:t>
      </w:r>
      <w:r>
        <w:t xml:space="preserve">CM от не-CM. Поле-LLL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15</m:t>
        </m:r>
      </m:oMath>
      <w:r>
        <w:t xml:space="preserve">: восстановление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+</m:t>
            </m:r>
            <m:r>
              <m:t>5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15</m:t>
                </m:r>
              </m:e>
            </m:rad>
          </m:num>
          <m:den>
            <m:r>
              <m:t>8</m:t>
            </m:r>
          </m:den>
        </m:f>
      </m:oMath>
      <w:r>
        <w:t xml:space="preserve">. Спектральные дроби подтверждены на девяти</w:t>
      </w:r>
      <w:r>
        <w:t xml:space="preserve"> </w:t>
      </w:r>
      <w:r>
        <w:t xml:space="preserve">решётках G1; семейства</w:t>
      </w:r>
      <w:r>
        <w:t xml:space="preserve"> </w:t>
      </w:r>
      <m:oMath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d</m:t>
        </m:r>
      </m:oMath>
      <w:r>
        <w:t xml:space="preserve">,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— точные.</w:t>
      </w:r>
    </w:p>
    <w:p>
      <w:pPr>
        <w:pStyle w:val="BlockText"/>
      </w:pPr>
      <w:r>
        <w:rPr>
          <w:b/>
          <w:bCs/>
        </w:rPr>
        <w:t xml:space="preserve">Сводка доказанного (итог).</w:t>
      </w:r>
      <w:r>
        <w:t xml:space="preserve"> </w:t>
      </w:r>
      <w:r>
        <w:t xml:space="preserve">Сертификат G принят (</w:t>
      </w:r>
      <m:oMath>
        <m:r>
          <m:t>6</m:t>
        </m:r>
        <m:r>
          <m:rPr>
            <m:sty m:val="p"/>
          </m:rPr>
          <m:t>/</m:t>
        </m:r>
        <m:r>
          <m:t>6</m:t>
        </m:r>
      </m:oMath>
      <w:r>
        <w:t xml:space="preserve">): универсальная нормировка, точные</w:t>
      </w:r>
      <w:r>
        <w:t xml:space="preserve"> </w:t>
      </w:r>
      <w:r>
        <w:t xml:space="preserve">дробности, поле-LLL, слой Коула–Селберга, K3-мост, лестница —</w:t>
      </w:r>
      <w:r>
        <w:t xml:space="preserve"> </w:t>
      </w:r>
      <w:r>
        <w:t xml:space="preserve">все пункты сертифицированы.</w:t>
      </w:r>
    </w:p>
    <w:p>
      <w:pPr>
        <w:pStyle w:val="BlockText"/>
      </w:pPr>
      <w:r>
        <w:rPr>
          <w:b/>
          <w:bCs/>
        </w:rPr>
        <w:t xml:space="preserve">Верификация (как воспроизвести).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«Сертификаты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G»;</w:t>
      </w:r>
      <w:r>
        <w:t xml:space="preserve"> </w:t>
      </w:r>
      <w:r>
        <w:t xml:space="preserve">конструктор: произвольный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 лаборатория вычисляет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 печатает дробь.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Лицензия: индивидуальная исключительная лицензия Исаева Исхака Хамзатовича.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Все права на вычисления, формулы и тексты принадлежат автору.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Верификация: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(пункт «Стенды»/«Сертификаты»),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Lean: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verification/lean/HodgeLaboratory.lean</w:t>
      </w:r>
      <w:r>
        <w:rPr>
          <w:i/>
          <w:color w:val="707070"/>
          <w:sz w:val="18"/>
        </w:rPr>
        <w:t xml:space="preserve">.</w:t>
      </w:r>
      <w:r>
        <w:rPr>
          <w:i/>
          <w:color w:val="707070"/>
          <w:sz w:val="18"/>
        </w:rPr>
        <w:t xml:space="preserve"> </w:t>
      </w:r>
    </w:p>
    <w:bookmarkEnd w:id="21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Сертификат G: индексы решётки Ходжа</dc:title>
  <dc:creator>Исаев Исхак Хамзатович</dc:creator>
  <dc:language>ru-RU</dc:language>
  <cp:keywords>hodge-laboratory, theorem monograph, RU</cp:keywords>
  <dcterms:created xsi:type="dcterms:W3CDTF">2026-09-23T16:56:52Z</dcterms:created>
  <dcterms:modified xsi:type="dcterms:W3CDTF">2026-09-23T16:56:52Z</dcterms:modified>
  <dc:subject>Standalone theorem monograph 15/16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