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jc w:val="center"/>
      </w:pPr>
      <w:r>
        <w:rPr>
          <w:b/>
          <w:i w:val="0"/>
          <w:color w:val="1F4E79"/>
          <w:sz w:val="40"/>
        </w:rPr>
        <w:t>Сертификат H и стенд Клейна</w:t>
      </w:r>
    </w:p>
    <w:p>
      <w:pPr>
        <w:jc w:val="center"/>
      </w:pPr>
      <w:r>
        <w:rPr>
          <w:b w:val="0"/>
          <w:i w:val="0"/>
          <w:color w:val="404040"/>
          <w:sz w:val="26"/>
        </w:rPr>
        <w:t>Γ-нормировка Гросса, объём 1125 и арифметика гептады</w:t>
      </w:r>
    </w:p>
    <w:p>
      <w:pPr>
        <w:jc w:val="center"/>
      </w:pPr>
      <w:r>
        <w:rPr>
          <w:b/>
          <w:i w:val="0"/>
          <w:color w:val="202020"/>
          <w:sz w:val="23"/>
        </w:rPr>
        <w:t>Исаев Исхак Хамзатович</w:t>
      </w:r>
    </w:p>
    <w:p>
      <w:pPr>
        <w:jc w:val="center"/>
      </w:pPr>
      <w:r>
        <w:rPr>
          <w:b w:val="0"/>
          <w:i w:val="0"/>
          <w:color w:val="666666"/>
          <w:sz w:val="19"/>
        </w:rPr>
        <w:t>Программа «Динамический принцип» — лаборатория hodge-laboratory</w:t>
      </w:r>
    </w:p>
    <w:p>
      <w:pPr>
        <w:jc w:val="center"/>
      </w:pPr>
      <w:r>
        <w:rPr>
          <w:b w:val="0"/>
          <w:i w:val="0"/>
          <w:color w:val="666666"/>
          <w:sz w:val="19"/>
        </w:rPr>
        <w:t>Отдельная монография теоремы · Монография 16/16</w:t>
      </w:r>
    </w:p>
    <w:bookmarkStart w:id="23" w:name="постановка"/>
    <w:p>
      <w:pPr>
        <w:pStyle w:val="Heading1"/>
      </w:pPr>
      <w:r>
        <w:t xml:space="preserve">Постановка</w:t>
      </w:r>
    </w:p>
    <w:p>
      <w:pPr>
        <w:pStyle w:val="FirstParagraph"/>
      </w:pPr>
      <w:r>
        <w:t xml:space="preserve">Сертификат H — вершина арки программы: полная</w:t>
      </w:r>
      <w:r>
        <w:t xml:space="preserve"> </w:t>
      </w:r>
      <m:oMath>
        <m:r>
          <m:t>Γ</m:t>
        </m:r>
      </m:oMath>
      <w:r>
        <w:t xml:space="preserve">-нормировка</w:t>
      </w:r>
      <w:r>
        <w:t xml:space="preserve"> </w:t>
      </w:r>
      <w:r>
        <w:t xml:space="preserve">Гросса на стенде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15</m:t>
        </m:r>
        <m:r>
          <m:rPr>
            <m:sty m:val="p"/>
          </m:rPr>
          <m:t>/</m:t>
        </m:r>
        <m:r>
          <m:t>30</m:t>
        </m:r>
      </m:oMath>
      <w:r>
        <w:t xml:space="preserve">, закрывающая</w:t>
      </w:r>
      <w:r>
        <w:t xml:space="preserve"> </w:t>
      </w:r>
      <m:oMath>
        <m:r>
          <m:t>Γ</m:t>
        </m:r>
      </m:oMath>
      <w:r>
        <w:t xml:space="preserve">-остаток сертификата G.</w:t>
      </w:r>
      <w:r>
        <w:t xml:space="preserve"> </w:t>
      </w:r>
      <w:r>
        <w:t xml:space="preserve">Вместе с ним здесь собран и третий стенд — якобиан квартики</w:t>
      </w:r>
      <w:r>
        <w:t xml:space="preserve"> </w:t>
      </w:r>
      <w:r>
        <w:t xml:space="preserve">Клейна с его арифметикой.</w:t>
      </w:r>
    </w:p>
    <w:bookmarkStart w:id="20" w:name="th:H1stand"/>
    <w:p>
      <w:pPr>
        <w:pStyle w:val="BodyText"/>
      </w:pPr>
      <w:r>
        <w:rPr>
          <w:b/>
          <w:bCs/>
        </w:rPr>
        <w:t xml:space="preserve">Теорема 1</w:t>
      </w:r>
      <w:r>
        <w:t xml:space="preserve"> </w:t>
      </w:r>
      <w:r>
        <w:t xml:space="preserve">(H1 — циклотомическая решётка).</w:t>
      </w:r>
      <w:r>
        <w:t xml:space="preserve"> </w:t>
      </w:r>
      <w:r>
        <w:t xml:space="preserve"> </w:t>
      </w:r>
      <w:r>
        <w:rPr>
          <w:i/>
          <w:iCs/>
        </w:rPr>
        <w:t xml:space="preserve">CM-решётка стенда:</w:t>
      </w:r>
      <w:r>
        <w:rPr>
          <w:i/>
          <w:iCs/>
        </w:rPr>
        <w:t xml:space="preserve"> </w:t>
      </w:r>
      <m:oMath>
        <m:r>
          <m:rPr>
            <m:sty m:val="p"/>
            <m:scr m:val="double-struck"/>
          </m:rPr>
          <m:t>Q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ζ</m:t>
                </m:r>
              </m:e>
              <m:sub>
                <m:r>
                  <m:t>30</m:t>
                </m:r>
              </m:sub>
            </m:sSub>
          </m:e>
        </m:d>
        <m:r>
          <m:rPr>
            <m:sty m:val="p"/>
          </m:rPr>
          <m:t>=</m:t>
        </m:r>
        <m:r>
          <m:rPr>
            <m:sty m:val="p"/>
            <m:scr m:val="double-struck"/>
          </m:rPr>
          <m:t>Q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ζ</m:t>
                </m:r>
              </m:e>
              <m:sub>
                <m:r>
                  <m:t>15</m:t>
                </m:r>
              </m:sub>
            </m:sSub>
          </m:e>
        </m:d>
      </m:oMath>
      <w:r>
        <w:rPr>
          <w:i/>
          <w:iCs/>
        </w:rPr>
        <w:t xml:space="preserve"> </w:t>
      </w:r>
      <w:r>
        <w:rPr>
          <w:i/>
          <w:iCs/>
        </w:rPr>
        <w:t xml:space="preserve">— один</w:t>
      </w:r>
      <w:r>
        <w:rPr>
          <w:i/>
          <w:iCs/>
        </w:rPr>
        <w:t xml:space="preserve"> </w:t>
      </w:r>
      <w:r>
        <w:rPr>
          <w:i/>
          <w:iCs/>
        </w:rPr>
        <w:t xml:space="preserve">стенд, два</w:t>
      </w:r>
      <w:r>
        <w:rPr>
          <w:i/>
          <w:iCs/>
        </w:rPr>
        <w:t xml:space="preserve"> </w:t>
      </w:r>
      <m:oMath>
        <m:r>
          <m:t>Γ</m:t>
        </m:r>
      </m:oMath>
      <w:r>
        <w:rPr>
          <w:i/>
          <w:iCs/>
        </w:rPr>
        <w:t xml:space="preserve">-уровня. Форма Римана целочисленна (суммы</w:t>
      </w:r>
      <w:r>
        <w:rPr>
          <w:i/>
          <w:iCs/>
        </w:rPr>
        <w:t xml:space="preserve"> </w:t>
      </w:r>
      <w:r>
        <w:rPr>
          <w:i/>
          <w:iCs/>
        </w:rPr>
        <w:t xml:space="preserve">Рамануджана); тип поляризации (SNF)</w:t>
      </w:r>
      <w:r>
        <w:rPr>
          <w:i/>
          <w:iCs/>
        </w:rP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15</m:t>
            </m:r>
            <m:r>
              <m:rPr>
                <m:sty m:val="p"/>
              </m:rPr>
              <m:t>,</m:t>
            </m:r>
            <m:r>
              <m:t>15</m:t>
            </m:r>
            <m:r>
              <m:rPr>
                <m:sty m:val="p"/>
              </m:rPr>
              <m:t>,</m:t>
            </m:r>
            <m:r>
              <m:t>15</m:t>
            </m:r>
            <m:r>
              <m:rPr>
                <m:sty m:val="p"/>
              </m:rPr>
              <m:t>,</m:t>
            </m:r>
            <m:r>
              <m:t>15</m:t>
            </m:r>
          </m:e>
        </m:d>
      </m:oMath>
      <w:r>
        <w:rPr>
          <w:i/>
          <w:iCs/>
        </w:rPr>
        <w:t xml:space="preserve"> </w:t>
      </w:r>
      <w:r>
        <w:rPr>
          <w:i/>
          <w:iCs/>
        </w:rPr>
        <w:t xml:space="preserve">—</w:t>
      </w:r>
      <w:r>
        <w:rPr>
          <w:i/>
          <w:iCs/>
        </w:rPr>
        <w:t xml:space="preserve"> </w:t>
      </w:r>
      <w:r>
        <w:rPr>
          <w:i/>
          <w:iCs/>
        </w:rPr>
        <w:t xml:space="preserve">целые индексы;</w:t>
      </w:r>
      <w:r>
        <w:rPr>
          <w:i/>
          <w:iCs/>
        </w:rPr>
        <w:t xml:space="preserve"> </w:t>
      </w:r>
      <m:oMath>
        <m:r>
          <m:rPr>
            <m:sty m:val="p"/>
          </m:rPr>
          <m:t>disc</m:t>
        </m:r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4</m:t>
            </m:r>
          </m:sup>
        </m:sSup>
        <m:r>
          <m:rPr>
            <m:sty m:val="p"/>
          </m:rPr>
          <m:t>⋅</m:t>
        </m:r>
        <m:sSup>
          <m:e>
            <m:r>
              <m:t>5</m:t>
            </m:r>
          </m:e>
          <m:sup>
            <m:r>
              <m:t>6</m:t>
            </m:r>
          </m:sup>
        </m:sSup>
        <m:r>
          <m:rPr>
            <m:sty m:val="p"/>
          </m:rPr>
          <m:t>=</m:t>
        </m:r>
        <m:r>
          <m:t>1265625</m:t>
        </m:r>
        <m:r>
          <m:rPr>
            <m:sty m:val="p"/>
          </m:rPr>
          <m:t>=</m:t>
        </m:r>
        <m:sSup>
          <m:e>
            <m:r>
              <m:t>1125</m:t>
            </m:r>
          </m:e>
          <m:sup>
            <m:r>
              <m:t>2</m:t>
            </m:r>
          </m:sup>
        </m:sSup>
      </m:oMath>
      <w:r>
        <w:rPr>
          <w:i/>
          <w:iCs/>
        </w:rPr>
        <w:t xml:space="preserve">.</w:t>
      </w:r>
    </w:p>
    <w:bookmarkEnd w:id="20"/>
    <w:p>
      <w:pPr>
        <w:pStyle w:val="BodyText"/>
      </w:pPr>
      <w:r>
        <w:rPr>
          <w:i/>
          <w:iCs/>
        </w:rPr>
        <w:t xml:space="preserve">Proof.</w:t>
      </w:r>
      <w:r>
        <w:t xml:space="preserve"> </w:t>
      </w:r>
      <w:r>
        <w:t xml:space="preserve">Форма Рамануджа целочисленна; SNF вычислена точным целочисленным</w:t>
      </w:r>
      <w:r>
        <w:t xml:space="preserve"> </w:t>
      </w:r>
      <w:r>
        <w:t xml:space="preserve">алгоритмом; произведение инвариантных множителей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⋅</m:t>
        </m:r>
        <m:sSup>
          <m:e>
            <m:r>
              <m:t>15</m:t>
            </m:r>
          </m:e>
          <m:sup>
            <m:r>
              <m:t>4</m:t>
            </m:r>
          </m:sup>
        </m:sSup>
        <m:r>
          <m:rPr>
            <m:sty m:val="p"/>
          </m:rPr>
          <m:t>=</m:t>
        </m:r>
        <m:r>
          <m:t>1265625</m:t>
        </m:r>
      </m:oMath>
      <w:r>
        <w:t xml:space="preserve"> </w:t>
      </w:r>
      <w:r>
        <w:t xml:space="preserve">совпадает с</w:t>
      </w:r>
      <w:r>
        <w:t xml:space="preserve"> </w:t>
      </w:r>
      <m:oMath>
        <m:sSup>
          <m:e>
            <m:r>
              <m:t>3</m:t>
            </m:r>
          </m:e>
          <m:sup>
            <m:r>
              <m:t>4</m:t>
            </m:r>
          </m:sup>
        </m:sSup>
        <m:r>
          <m:rPr>
            <m:sty m:val="p"/>
          </m:rPr>
          <m:t>⋅</m:t>
        </m:r>
        <m:sSup>
          <m:e>
            <m:r>
              <m:t>5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— разложение проверено. Поле:</w:t>
      </w:r>
      <w:r>
        <w:t xml:space="preserve"> </w:t>
      </w:r>
      <m:oMath>
        <m:r>
          <m:t>ϕ</m:t>
        </m:r>
        <m:d>
          <m:dPr>
            <m:begChr m:val="("/>
            <m:endChr m:val=")"/>
            <m:sepChr m:val=""/>
            <m:grow/>
          </m:dPr>
          <m:e>
            <m:r>
              <m:t>30</m:t>
            </m:r>
          </m:e>
        </m:d>
        <m:r>
          <m:rPr>
            <m:sty m:val="p"/>
          </m:rPr>
          <m:t>=</m:t>
        </m:r>
        <m:r>
          <m:t>ϕ</m:t>
        </m:r>
        <m:d>
          <m:dPr>
            <m:begChr m:val="("/>
            <m:endChr m:val=")"/>
            <m:sepChr m:val=""/>
            <m:grow/>
          </m:dPr>
          <m:e>
            <m:r>
              <m:t>15</m:t>
            </m:r>
          </m:e>
        </m:d>
        <m:r>
          <m:rPr>
            <m:sty m:val="p"/>
          </m:rPr>
          <m:t>=</m:t>
        </m:r>
        <m:r>
          <m:t>8</m:t>
        </m:r>
      </m:oMath>
      <w:r>
        <w:t xml:space="preserve">;</w:t>
      </w:r>
      <w:r>
        <w:t xml:space="preserve"> </w:t>
      </w:r>
      <w:r>
        <w:t xml:space="preserve">изоморфизм</w:t>
      </w:r>
      <w:r>
        <w:t xml:space="preserve"> </w:t>
      </w:r>
      <m:oMath>
        <m:sSub>
          <m:e>
            <m:r>
              <m:t>ζ</m:t>
            </m:r>
          </m:e>
          <m:sub>
            <m:r>
              <m:t>30</m:t>
            </m:r>
          </m:sub>
        </m:sSub>
        <m:r>
          <m:rPr>
            <m:sty m:val="p"/>
          </m:rPr>
          <m:t>↦</m:t>
        </m:r>
        <m:r>
          <m:rPr>
            <m:sty m:val="p"/>
          </m:rPr>
          <m:t>−</m:t>
        </m:r>
        <m:sSubSup>
          <m:e>
            <m:r>
              <m:t>ζ</m:t>
            </m:r>
          </m:e>
          <m:sub>
            <m:r>
              <m:t>15</m:t>
            </m:r>
          </m:sub>
          <m:sup>
            <m:r>
              <m:t>8</m:t>
            </m:r>
          </m:sup>
        </m:sSubSup>
      </m:oMath>
      <w:r>
        <w:t xml:space="preserve">. ◻</w:t>
      </w:r>
    </w:p>
    <w:bookmarkStart w:id="21" w:name="th:H2stand"/>
    <w:p>
      <w:pPr>
        <w:pStyle w:val="BodyText"/>
      </w:pPr>
      <w:r>
        <w:rPr>
          <w:b/>
          <w:bCs/>
        </w:rPr>
        <w:t xml:space="preserve">Теорема 2</w:t>
      </w:r>
      <w:r>
        <w:t xml:space="preserve"> </w:t>
      </w:r>
      <w:r>
        <w:t xml:space="preserve">(H2 —</w:t>
      </w:r>
      <w:r>
        <w:t xml:space="preserve"> </w:t>
      </w:r>
      <m:oMath>
        <m:r>
          <m:t>Γ</m:t>
        </m:r>
      </m:oMath>
      <w:r>
        <w:t xml:space="preserve">-нормировка объёма).</w:t>
      </w:r>
      <w:r>
        <w:t xml:space="preserve"> </w:t>
      </w:r>
      <w:r>
        <w:t xml:space="preserve"> </w:t>
      </w: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v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l</m:t>
              </m:r>
            </m:e>
            <m:sub>
              <m:r>
                <m:t>h</m:t>
              </m:r>
            </m:sub>
          </m:sSub>
          <m:r>
            <m:rPr>
              <m:sty m:val="p"/>
            </m:rPr>
            <m:t>=</m:t>
          </m:r>
          <m:s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</m:e>
            <m:sup>
              <m:r>
                <m:t>32</m:t>
              </m:r>
            </m:sup>
          </m:sSup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t>Γ</m:t>
              </m:r>
            </m:e>
          </m:nary>
          <m:s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e>
              </m:d>
            </m:e>
            <m:sup>
              <m:r>
                <m:rPr>
                  <m:sty m:val="p"/>
                </m:rPr>
                <m:t>−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</m:sup>
          </m:sSup>
          <m:r>
            <m:rPr>
              <m:sty m:val="p"/>
            </m:rPr>
            <m:t>=</m:t>
          </m:r>
          <m:r>
            <m:t>1125</m:t>
          </m:r>
          <m:r>
            <m:t>  </m:t>
          </m:r>
          <m:d>
            <m:dPr>
              <m:begChr m:val="("/>
              <m:endChr m:val=")"/>
              <m:sepChr m:val=""/>
              <m:grow/>
            </m:dPr>
            <m:e>
              <m:r>
                <m:t>N</m:t>
              </m:r>
              <m:r>
                <m:rPr>
                  <m:sty m:val="p"/>
                </m:rPr>
                <m:t>=</m:t>
              </m:r>
              <m:r>
                <m:t>15</m:t>
              </m:r>
              <m:r>
                <m:t> </m:t>
              </m:r>
              <m:r>
                <m:rPr>
                  <m:nor/>
                  <m:sty m:val="p"/>
                </m:rPr>
                <m:t>и</m:t>
              </m:r>
              <m:r>
                <m:t> </m:t>
              </m:r>
              <m:r>
                <m:t>30</m:t>
              </m:r>
            </m:e>
          </m:d>
          <m:r>
            <m:rPr>
              <m:sty m:val="p"/>
            </m:rPr>
            <m:t>,</m:t>
          </m:r>
        </m:oMath>
      </m:oMathPara>
      <w:r>
        <w:rPr>
          <w:i/>
          <w:iCs/>
        </w:rPr>
        <w:t xml:space="preserve"> </w:t>
      </w:r>
      <w:r>
        <w:rPr>
          <w:i/>
          <w:iCs/>
        </w:rPr>
        <w:t xml:space="preserve">показатели</w:t>
      </w:r>
      <w:r>
        <w:rPr>
          <w:i/>
          <w:iCs/>
        </w:rP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точны (для</w:t>
      </w:r>
      <w:r>
        <w:rPr>
          <w:i/>
          <w:iCs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15</m:t>
        </m:r>
      </m:oMath>
      <w:r>
        <w:rPr>
          <w:i/>
          <w:iCs/>
        </w:rPr>
        <w:t xml:space="preserve">:</w:t>
      </w:r>
      <w:r>
        <w:rPr>
          <w:i/>
          <w:iCs/>
        </w:rP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4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при десяти</w:t>
      </w:r>
      <w:r>
        <w:rPr>
          <w:i/>
          <w:iCs/>
        </w:rPr>
        <w:t xml:space="preserve"> </w:t>
      </w:r>
      <m:oMath>
        <m:r>
          <m:t>k</m:t>
        </m:r>
      </m:oMath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6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при</w:t>
      </w:r>
      <w:r>
        <w:rPr>
          <w:i/>
          <w:iCs/>
        </w:rPr>
        <w:t xml:space="preserve"> </w:t>
      </w:r>
      <m:oMath>
        <m:r>
          <m:t>k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,</m:t>
        </m:r>
        <m:r>
          <m:t>12</m:t>
        </m:r>
      </m:oMath>
      <w:r>
        <w:rPr>
          <w:i/>
          <w:iCs/>
        </w:rPr>
        <w:t xml:space="preserve">); остаток</w:t>
      </w:r>
      <w:r>
        <w:rPr>
          <w:i/>
          <w:iCs/>
        </w:rPr>
        <w:t xml:space="preserve"> </w:t>
      </w:r>
      <m:oMath>
        <m:r>
          <m:t>1.01</m:t>
        </m:r>
        <m:r>
          <m:rPr>
            <m:sty m:val="p"/>
          </m:rPr>
          <m:t>⋅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119</m:t>
            </m:r>
          </m:sup>
        </m:sSup>
      </m:oMath>
      <w:r>
        <w:rPr>
          <w:i/>
          <w:iCs/>
        </w:rPr>
        <w:t xml:space="preserve">;</w:t>
      </w:r>
      <w:r>
        <w:rPr>
          <w:i/>
          <w:iCs/>
        </w:rPr>
        <w:t xml:space="preserve"> </w:t>
      </w:r>
      <m:oMath>
        <m:r>
          <m:rPr>
            <m:sty m:val="p"/>
          </m:rPr>
          <m:t>det</m:t>
        </m:r>
        <m:sSup>
          <m:e>
            <m:r>
              <m:t>V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1265625</m:t>
        </m:r>
        <m:r>
          <m:rPr>
            <m:sty m:val="p"/>
          </m:rPr>
          <m:t>/</m:t>
        </m:r>
        <m:r>
          <m:t>256</m:t>
        </m:r>
      </m:oMath>
      <w:r>
        <w:rPr>
          <w:i/>
          <w:iCs/>
        </w:rPr>
        <w:t xml:space="preserve">; дефляция PSLQ (</w:t>
      </w:r>
      <m:oMath>
        <m:r>
          <m:t>N</m:t>
        </m:r>
        <m:r>
          <m:rPr>
            <m:sty m:val="p"/>
          </m:rPr>
          <m:t>=</m:t>
        </m:r>
        <m:r>
          <m:t>15</m:t>
        </m:r>
      </m:oMath>
      <w:r>
        <w:rPr>
          <w:i/>
          <w:iCs/>
        </w:rPr>
        <w:t xml:space="preserve">) восстанавливает</w:t>
      </w:r>
      <w:r>
        <w:rPr>
          <w:i/>
          <w:iCs/>
        </w:rPr>
        <w:t xml:space="preserve"> </w:t>
      </w:r>
      <w:r>
        <w:rPr>
          <w:i/>
          <w:iCs/>
        </w:rPr>
        <w:t xml:space="preserve">целочисленный вектор показателей;</w:t>
      </w:r>
      <w:r>
        <w:rPr>
          <w:i/>
          <w:iCs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сертифицирован</w:t>
      </w:r>
      <w:r>
        <w:rPr>
          <w:i/>
          <w:iCs/>
        </w:rPr>
        <w:t xml:space="preserve"> </w:t>
      </w:r>
      <w:r>
        <w:rPr>
          <w:i/>
          <w:iCs/>
        </w:rPr>
        <w:t xml:space="preserve">синус-подсчётом.</w:t>
      </w:r>
    </w:p>
    <w:bookmarkEnd w:id="21"/>
    <w:p>
      <w:pPr>
        <w:pStyle w:val="FirstParagraph"/>
      </w:pPr>
      <w:r>
        <w:rPr>
          <w:i/>
          <w:iCs/>
        </w:rPr>
        <w:t xml:space="preserve">Proof.</w:t>
      </w:r>
      <w:r>
        <w:t xml:space="preserve"> </w:t>
      </w:r>
      <w:r>
        <w:t xml:space="preserve">Произведение Коула–Селберга по характерам: показатели собирают</w:t>
      </w:r>
      <w:r>
        <w:t xml:space="preserve"> </w:t>
      </w:r>
      <w:r>
        <w:t xml:space="preserve">кратности проводников</w:t>
      </w:r>
      <w:r>
        <w:t xml:space="preserve"> </w:t>
      </w:r>
      <m:oMath>
        <m:sSub>
          <m:e>
            <m:r>
              <m:t>h</m:t>
            </m:r>
          </m:e>
          <m:sub>
            <m:r>
              <m:t>d</m:t>
            </m:r>
          </m:sub>
        </m:sSub>
      </m:oMath>
      <w:r>
        <w:t xml:space="preserve">. Вычисление при</w:t>
      </w:r>
      <w:r>
        <w:t xml:space="preserve"> </w:t>
      </w:r>
      <m:oMath>
        <m:r>
          <m:t>d</m:t>
        </m:r>
        <m:r>
          <m:t>p</m:t>
        </m:r>
        <m:r>
          <m:t>s</m:t>
        </m:r>
        <m:r>
          <m:rPr>
            <m:sty m:val="p"/>
          </m:rPr>
          <m:t>=</m:t>
        </m:r>
        <m:r>
          <m:t>120</m:t>
        </m:r>
      </m:oMath>
      <w:r>
        <w:t xml:space="preserve"> </w:t>
      </w:r>
      <w:r>
        <w:t xml:space="preserve">даёт</w:t>
      </w:r>
      <w:r>
        <w:t xml:space="preserve"> </w:t>
      </w:r>
      <m:oMath>
        <m:r>
          <m:t>1125</m:t>
        </m:r>
      </m:oMath>
      <w:r>
        <w:t xml:space="preserve"> </w:t>
      </w:r>
      <w:r>
        <w:t xml:space="preserve">с</w:t>
      </w:r>
      <w:r>
        <w:t xml:space="preserve"> </w:t>
      </w:r>
      <w:r>
        <w:t xml:space="preserve">остатком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119</m:t>
            </m:r>
          </m:sup>
        </m:sSup>
      </m:oMath>
      <w:r>
        <w:t xml:space="preserve">; согласование с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disc</m:t>
            </m:r>
          </m:e>
        </m:rad>
      </m:oMath>
      <w:r>
        <w:t xml:space="preserve"> </w:t>
      </w:r>
      <w:r>
        <w:t xml:space="preserve">из H1 точное.</w:t>
      </w:r>
      <w:r>
        <w:t xml:space="preserve"> </w:t>
      </w:r>
      <w:r>
        <w:t xml:space="preserve">Синус-подсчёт:</w:t>
      </w:r>
      <w:r>
        <w:t xml:space="preserve"> </w:t>
      </w:r>
      <m:oMath>
        <m:r>
          <m:t>Γ</m:t>
        </m:r>
        <m:d>
          <m:dPr>
            <m:begChr m:val="("/>
            <m:endChr m:val=")"/>
            <m:sepChr m:val=""/>
            <m:grow/>
          </m:dPr>
          <m:e>
            <m:r>
              <m:t>k</m:t>
            </m:r>
            <m:r>
              <m:rPr>
                <m:sty m:val="p"/>
              </m:rPr>
              <m:t>/</m:t>
            </m:r>
            <m:r>
              <m:t>30</m:t>
            </m:r>
          </m:e>
        </m:d>
        <m:r>
          <m:t>Γ</m:t>
        </m:r>
        <m:d>
          <m:dPr>
            <m:begChr m:val="("/>
            <m:endChr m:val=")"/>
            <m:sepChr m:val=""/>
            <m:grow/>
          </m:dPr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30</m:t>
                </m:r>
                <m:r>
                  <m:rPr>
                    <m:sty m:val="p"/>
                  </m:rPr>
                  <m:t>−</m:t>
                </m:r>
                <m:r>
                  <m:t>k</m:t>
                </m:r>
              </m:e>
            </m:d>
            <m:r>
              <m:rPr>
                <m:sty m:val="p"/>
              </m:rPr>
              <m:t>/</m:t>
            </m:r>
            <m:r>
              <m:t>30</m:t>
            </m:r>
          </m:e>
        </m:d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rPr>
            <m:sty m:val="p"/>
          </m:rPr>
          <m:t>sin</m:t>
        </m:r>
        <m:d>
          <m:dPr>
            <m:begChr m:val="("/>
            <m:endChr m:val=")"/>
            <m:sepChr m:val=""/>
            <m:grow/>
          </m:dPr>
          <m:e>
            <m:r>
              <m:t>π</m:t>
            </m:r>
            <m:r>
              <m:t>k</m:t>
            </m:r>
            <m:r>
              <m:rPr>
                <m:sty m:val="p"/>
              </m:rPr>
              <m:t>/</m:t>
            </m:r>
            <m:r>
              <m:t>30</m:t>
            </m:r>
          </m:e>
        </m:d>
      </m:oMath>
      <w:r>
        <w:t xml:space="preserve"> </w:t>
      </w:r>
      <w:r>
        <w:t xml:space="preserve">замыкает тождество для чётных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без PSLQ. ◻</w:t>
      </w:r>
    </w:p>
    <w:bookmarkStart w:id="22" w:name="th:H36"/>
    <w:p>
      <w:pPr>
        <w:pStyle w:val="BodyText"/>
      </w:pPr>
      <w:r>
        <w:rPr>
          <w:b/>
          <w:bCs/>
        </w:rPr>
        <w:t xml:space="preserve">Теорема 3</w:t>
      </w:r>
      <w:r>
        <w:t xml:space="preserve"> </w:t>
      </w:r>
      <w:r>
        <w:t xml:space="preserve">(H3–H6).</w:t>
      </w:r>
      <w:r>
        <w:t xml:space="preserve"> </w:t>
      </w:r>
      <w:r>
        <w:t xml:space="preserve"> </w:t>
      </w:r>
      <w:r>
        <w:rPr>
          <w:i/>
          <w:i/>
          <w:iCs/>
          <w:iCs/>
        </w:rPr>
        <w:t xml:space="preserve">(H3)</w:t>
      </w:r>
      <w:r>
        <w:rPr>
          <w:i/>
          <w:iCs/>
        </w:rPr>
        <w:t xml:space="preserve"> </w:t>
      </w:r>
      <w:r>
        <w:rPr>
          <w:i/>
          <w:iCs/>
        </w:rPr>
        <w:t xml:space="preserve">Каждый период Ферма —</w:t>
      </w:r>
      <w:r>
        <w:rPr>
          <w:i/>
          <w:iCs/>
        </w:rPr>
        <w:t xml:space="preserve"> </w:t>
      </w:r>
      <m:oMath>
        <m:r>
          <m:t>Γ</m:t>
        </m:r>
      </m:oMath>
      <w:r>
        <w:rPr>
          <w:i/>
          <w:iCs/>
        </w:rPr>
        <w:t xml:space="preserve">-мономиал</w:t>
      </w:r>
      <w:r>
        <w:rPr>
          <w:i/>
          <w:iCs/>
        </w:rP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sSup>
          <m:e>
            <m:r>
              <m:t>ζ</m:t>
            </m:r>
          </m:e>
          <m:sup>
            <m:r>
              <m:t>r</m:t>
            </m:r>
            <m:r>
              <m:t>a</m:t>
            </m:r>
            <m:r>
              <m:rPr>
                <m:sty m:val="p"/>
              </m:rPr>
              <m:t>+</m:t>
            </m:r>
            <m:r>
              <m:t>s</m:t>
            </m:r>
            <m:r>
              <m:t>b</m:t>
            </m:r>
          </m:sup>
        </m:sSup>
        <m:r>
          <m:t>Γ</m:t>
        </m:r>
        <m:d>
          <m:dPr>
            <m:begChr m:val="("/>
            <m:endChr m:val=")"/>
            <m:sepChr m:val=""/>
            <m:grow/>
          </m:dPr>
          <m:e>
            <m:r>
              <m:t>a</m:t>
            </m:r>
            <m:r>
              <m:rPr>
                <m:sty m:val="p"/>
              </m:rPr>
              <m:t>/</m:t>
            </m:r>
            <m:r>
              <m:t>N</m:t>
            </m:r>
          </m:e>
        </m:d>
        <m:r>
          <m:t>Γ</m:t>
        </m:r>
        <m:d>
          <m:dPr>
            <m:begChr m:val="("/>
            <m:endChr m:val=")"/>
            <m:sepChr m:val=""/>
            <m:grow/>
          </m:dPr>
          <m:e>
            <m:r>
              <m:t>b</m:t>
            </m:r>
            <m:r>
              <m:rPr>
                <m:sty m:val="p"/>
              </m:rPr>
              <m:t>/</m:t>
            </m:r>
            <m:r>
              <m:t>N</m:t>
            </m:r>
          </m:e>
        </m:d>
        <m:r>
          <m:rPr>
            <m:sty m:val="p"/>
          </m:rPr>
          <m:t>/</m:t>
        </m:r>
        <m:r>
          <m:t>Γ</m:t>
        </m:r>
        <m:d>
          <m:dPr>
            <m:begChr m:val="("/>
            <m:endChr m:val=")"/>
            <m:sepChr m:val=""/>
            <m:grow/>
          </m:dPr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</m:e>
            </m:d>
            <m:r>
              <m:rPr>
                <m:sty m:val="p"/>
              </m:rPr>
              <m:t>/</m:t>
            </m:r>
            <m:r>
              <m:t>N</m:t>
            </m:r>
          </m:e>
        </m:d>
      </m:oMath>
      <w:r>
        <w:rPr>
          <w:i/>
          <w:iCs/>
        </w:rPr>
        <w:t xml:space="preserve"> </w:t>
      </w:r>
      <w:r>
        <w:rPr>
          <w:i/>
          <w:iCs/>
        </w:rPr>
        <w:t xml:space="preserve">(</w:t>
      </w:r>
      <m:oMath>
        <m:r>
          <m:t>91</m:t>
        </m:r>
        <m:r>
          <m:rPr>
            <m:sty m:val="p"/>
          </m:rPr>
          <m:t>/</m:t>
        </m:r>
        <m:r>
          <m:t>406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периодов; квадратуры</w:t>
      </w:r>
      <w:r>
        <w:rPr>
          <w:i/>
          <w:iCs/>
        </w:rP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121</m:t>
            </m:r>
          </m:sup>
        </m:sSup>
      </m:oMath>
      <w:r>
        <w:rPr>
          <w:i/>
          <w:iCs/>
        </w:rPr>
        <w:t xml:space="preserve">); уровень</w:t>
      </w:r>
      <w:r>
        <w:rPr>
          <w:i/>
          <w:iCs/>
        </w:rPr>
        <w:t xml:space="preserve"> </w:t>
      </w:r>
      <m:oMath>
        <m:r>
          <m:t>30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с нечётными</w:t>
      </w:r>
      <w:r>
        <w:rPr>
          <w:i/>
          <w:iCs/>
        </w:rPr>
        <w:t xml:space="preserve"> </w:t>
      </w:r>
      <m:oMath>
        <m:r>
          <m:t>k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не</w:t>
      </w:r>
      <w:r>
        <w:rPr>
          <w:i/>
          <w:iCs/>
        </w:rPr>
        <w:t xml:space="preserve"> </w:t>
      </w:r>
      <w:r>
        <w:rPr>
          <w:i/>
          <w:iCs/>
        </w:rPr>
        <w:t xml:space="preserve">сводим к</w:t>
      </w:r>
      <w:r>
        <w:rPr>
          <w:i/>
          <w:iCs/>
        </w:rPr>
        <w:t xml:space="preserve"> </w:t>
      </w:r>
      <m:oMath>
        <m:r>
          <m:t>15</m:t>
        </m:r>
      </m:oMath>
      <w:r>
        <w:rPr>
          <w:i/>
          <w:iCs/>
        </w:rPr>
        <w:t xml:space="preserve">.</w:t>
      </w:r>
      <w:r>
        <w:rPr>
          <w:i/>
          <w:iCs/>
        </w:rPr>
        <w:t xml:space="preserve"> </w:t>
      </w:r>
      <w:r>
        <w:rPr>
          <w:i/>
          <w:i/>
          <w:iCs/>
          <w:iCs/>
        </w:rPr>
        <w:t xml:space="preserve">(H4)</w:t>
      </w:r>
      <w:r>
        <w:rPr>
          <w:i/>
          <w:iCs/>
        </w:rPr>
        <w:t xml:space="preserve"> </w:t>
      </w:r>
      <w:r>
        <w:rPr>
          <w:i/>
          <w:iCs/>
        </w:rPr>
        <w:t xml:space="preserve">Модули</w:t>
      </w:r>
      <w:r>
        <w:rPr>
          <w:i/>
          <w:iCs/>
        </w:rPr>
        <w:t xml:space="preserve"> </w:t>
      </w:r>
      <m:oMath>
        <m:d>
          <m:dPr>
            <m:begChr m:val="|"/>
            <m:endChr m:val="|"/>
            <m:sepChr m:val=""/>
            <m:grow/>
          </m:dPr>
          <m:e>
            <m:r>
              <m:t>ω</m:t>
            </m:r>
            <m:sSup>
              <m:e>
                <m:d>
                  <m:dPr>
                    <m:begChr m:val="("/>
                    <m:endChr m:val=")"/>
                    <m:sepChr m:val=""/>
                    <m:grow/>
                  </m:dPr>
                  <m:e>
                    <m:sSub>
                      <m:e>
                        <m:r>
                          <m:t>τ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d>
              </m:e>
              <m:sup>
                <m:r>
                  <m:t>2</m:t>
                </m:r>
              </m:sup>
            </m:sSup>
          </m:e>
        </m:d>
      </m:oMath>
      <w:r>
        <w:rPr>
          <w:i/>
          <w:iCs/>
        </w:rPr>
        <w:t xml:space="preserve"> </w:t>
      </w:r>
      <w:r>
        <w:rPr>
          <w:i/>
          <w:iCs/>
        </w:rPr>
        <w:t xml:space="preserve">—</w:t>
      </w:r>
      <w:r>
        <w:rPr>
          <w:i/>
          <w:iCs/>
        </w:rPr>
        <w:t xml:space="preserve"> </w:t>
      </w:r>
      <m:oMath>
        <m:r>
          <m:t>Γ</m:t>
        </m:r>
      </m:oMath>
      <w:r>
        <w:rPr>
          <w:i/>
          <w:iCs/>
        </w:rPr>
        <w:t xml:space="preserve">-мономиалы;</w:t>
      </w:r>
      <w:r>
        <w:rPr>
          <w:i/>
          <w:iCs/>
        </w:rPr>
        <w:t xml:space="preserve"> </w:t>
      </w:r>
      <w:r>
        <w:rPr>
          <w:i/>
          <w:iCs/>
        </w:rPr>
        <w:t xml:space="preserve">фаза</w:t>
      </w:r>
      <w:r>
        <w:rPr>
          <w:i/>
          <w:iCs/>
        </w:rPr>
        <w:t xml:space="preserve"> </w:t>
      </w:r>
      <m:oMath>
        <m:r>
          <m:t>ψ</m:t>
        </m:r>
        <m:r>
          <m:rPr>
            <m:sty m:val="p"/>
          </m:rPr>
          <m:t>=</m:t>
        </m:r>
        <m:f>
          <m:fPr>
            <m:type m:val="bar"/>
          </m:fPr>
          <m:num>
            <m:d>
              <m:dPr>
                <m:begChr m:val="("/>
                <m:endChr m:val=")"/>
                <m:sepChr m:val="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t>3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d>
            <m:r>
              <m:rPr>
                <m:sty m:val="p"/>
              </m:rPr>
              <m:t>+</m:t>
            </m:r>
            <m:r>
              <m:t>i</m:t>
            </m:r>
            <m:d>
              <m:dPr>
                <m:begChr m:val="("/>
                <m:endChr m:val=")"/>
                <m:sepChr m:val=""/>
                <m:grow/>
              </m:dPr>
              <m:e>
                <m:rad>
                  <m:radPr>
                    <m:degHide m:val="on"/>
                  </m:radPr>
                  <m:deg/>
                  <m:e>
                    <m:r>
                      <m:t>15</m:t>
                    </m:r>
                  </m:e>
                </m:rad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d>
          </m:num>
          <m:den>
            <m:r>
              <m:t>8</m:t>
            </m:r>
          </m:den>
        </m:f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d>
          <m:dPr>
            <m:begChr m:val="|"/>
            <m:endChr m:val="|"/>
            <m:sepChr m:val=""/>
            <m:grow/>
          </m:dPr>
          <m:e>
            <m:r>
              <m:t>R</m:t>
            </m:r>
          </m:e>
        </m:d>
      </m:oMath>
      <w:r>
        <w:rPr>
          <w:i/>
          <w:iCs/>
        </w:rPr>
        <w:t xml:space="preserve"> </w:t>
      </w:r>
      <w:r>
        <w:rPr>
          <w:i/>
          <w:iCs/>
        </w:rPr>
        <w:t xml:space="preserve">восстановлена LLL;</w:t>
      </w:r>
      <w:r>
        <w:rPr>
          <w:i/>
          <w:iCs/>
        </w:rPr>
        <w:t xml:space="preserve"> </w:t>
      </w:r>
      <m:oMath>
        <m:d>
          <m:dPr>
            <m:begChr m:val="|"/>
            <m:endChr m:val="|"/>
            <m:sepChr m:val=""/>
            <m:grow/>
          </m:dPr>
          <m:e>
            <m:r>
              <m:t>R</m:t>
            </m:r>
          </m:e>
        </m:d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rPr>
          <w:i/>
          <w:iCs/>
        </w:rPr>
        <w:t xml:space="preserve"> </w:t>
      </w:r>
      <w:r>
        <w:rPr>
          <w:i/>
          <w:iCs/>
        </w:rPr>
        <w:t xml:space="preserve">— единица</w:t>
      </w:r>
      <w:r>
        <w:rPr>
          <w:i/>
          <w:iCs/>
        </w:rPr>
        <w:t xml:space="preserve"> </w:t>
      </w:r>
      <m:oMath>
        <m:r>
          <m:rPr>
            <m:sty m:val="p"/>
            <m:scr m:val="double-struck"/>
          </m:rPr>
          <m:t>Q</m:t>
        </m:r>
        <m:d>
          <m:dPr>
            <m:begChr m:val="("/>
            <m:endChr m:val=")"/>
            <m:sepChr m:val=""/>
            <m:grow/>
          </m:dPr>
          <m:e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e>
        </m:d>
      </m:oMath>
      <w:r>
        <w:rPr>
          <w:i/>
          <w:iCs/>
        </w:rPr>
        <w:t xml:space="preserve">.</w:t>
      </w:r>
      <w:r>
        <w:rPr>
          <w:i/>
          <w:iCs/>
        </w:rPr>
        <w:t xml:space="preserve"> </w:t>
      </w:r>
      <w:r>
        <w:rPr>
          <w:i/>
          <w:i/>
          <w:iCs/>
          <w:iCs/>
        </w:rPr>
        <w:t xml:space="preserve">(H5)</w:t>
      </w:r>
      <w:r>
        <w:rPr>
          <w:i/>
          <w:iCs/>
        </w:rPr>
        <w:t xml:space="preserve"> </w:t>
      </w:r>
      <w:r>
        <w:rPr>
          <w:i/>
          <w:iCs/>
        </w:rPr>
        <w:t xml:space="preserve">Лестница</w:t>
      </w:r>
      <w:r>
        <w:rPr>
          <w:i/>
          <w:iCs/>
        </w:rPr>
        <w:t xml:space="preserve"> </w:t>
      </w:r>
      <m:oMath>
        <m:r>
          <m:t>π</m:t>
        </m:r>
        <m:r>
          <m:rPr>
            <m:sty m:val="p"/>
          </m:rPr>
          <m:t>/</m:t>
        </m:r>
        <m:r>
          <m:t>7</m:t>
        </m:r>
      </m:oMath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m:oMath>
        <m:r>
          <m:t>π</m:t>
        </m:r>
        <m:r>
          <m:rPr>
            <m:sty m:val="p"/>
          </m:rPr>
          <m:t>/</m:t>
        </m:r>
        <m:r>
          <m:t>15</m:t>
        </m:r>
      </m:oMath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m:oMath>
        <m:r>
          <m:t>π</m:t>
        </m:r>
        <m:r>
          <m:rPr>
            <m:sty m:val="p"/>
          </m:rPr>
          <m:t>/</m:t>
        </m:r>
        <m:r>
          <m:t>30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— ступени одной</w:t>
      </w:r>
      <w:r>
        <w:rPr>
          <w:i/>
          <w:iCs/>
        </w:rPr>
        <w:t xml:space="preserve"> </w:t>
      </w:r>
      <w:r>
        <w:rPr>
          <w:i/>
          <w:iCs/>
        </w:rPr>
        <w:t xml:space="preserve">лестницы</w:t>
      </w:r>
      <w:r>
        <w:rPr>
          <w:i/>
          <w:iCs/>
        </w:rPr>
        <w:t xml:space="preserve"> </w:t>
      </w:r>
      <m:oMath>
        <m:sSub>
          <m:e>
            <m:r>
              <m:t>μ</m:t>
            </m:r>
          </m:e>
          <m:sub>
            <m:r>
              <m:t>N</m:t>
            </m:r>
          </m:sub>
        </m:sSub>
      </m:oMath>
      <w:r>
        <w:rPr>
          <w:i/>
          <w:iCs/>
        </w:rPr>
        <w:t xml:space="preserve">-квантов; веса</w:t>
      </w:r>
      <w:r>
        <w:rPr>
          <w:i/>
          <w:iCs/>
        </w:rPr>
        <w:t xml:space="preserve"> </w:t>
      </w:r>
      <m:oMath>
        <m:r>
          <m:t>4</m:t>
        </m:r>
        <m:r>
          <m:rPr>
            <m:sty m:val="p"/>
          </m:rPr>
          <m:t>sin</m:t>
        </m:r>
        <m:d>
          <m:dPr>
            <m:begChr m:val="("/>
            <m:endChr m:val=")"/>
            <m:sepChr m:val=""/>
            <m:grow/>
          </m:dPr>
          <m:e>
            <m:r>
              <m:t>π</m:t>
            </m:r>
            <m:r>
              <m:t>k</m:t>
            </m:r>
            <m:r>
              <m:rPr>
                <m:sty m:val="p"/>
              </m:rPr>
              <m:t>/</m:t>
            </m:r>
            <m:r>
              <m:t>N</m:t>
            </m:r>
          </m:e>
        </m:d>
      </m:oMath>
      <w:r>
        <w:rPr>
          <w:i/>
          <w:iCs/>
        </w:rPr>
        <w:t xml:space="preserve"> </w:t>
      </w:r>
      <w:r>
        <w:rPr>
          <w:i/>
          <w:iCs/>
        </w:rPr>
        <w:t xml:space="preserve">согласованы.</w:t>
      </w:r>
      <w:r>
        <w:rPr>
          <w:i/>
          <w:iCs/>
        </w:rPr>
        <w:t xml:space="preserve"> </w:t>
      </w:r>
      <w:r>
        <w:rPr>
          <w:i/>
          <w:i/>
          <w:iCs/>
          <w:iCs/>
        </w:rPr>
        <w:t xml:space="preserve">(H6)</w:t>
      </w:r>
      <w:r>
        <w:rPr>
          <w:i/>
          <w:iCs/>
        </w:rPr>
        <w:t xml:space="preserve"> </w:t>
      </w:r>
      <w:r>
        <w:rPr>
          <w:i/>
          <w:iCs/>
        </w:rPr>
        <w:t xml:space="preserve">Граница знаменателей</w:t>
      </w:r>
      <w:r>
        <w:rPr>
          <w:i/>
          <w:iCs/>
        </w:rPr>
        <w:t xml:space="preserve"> </w:t>
      </w:r>
      <m:oMath>
        <m:sSub>
          <m:e>
            <m:r>
              <m:t>Q</m:t>
            </m:r>
          </m:e>
          <m:sub>
            <m:r>
              <m:rPr>
                <m:nor/>
                <m:sty m:val="p"/>
              </m:rPr>
              <m:t>стенд</m:t>
            </m:r>
          </m:sub>
        </m:sSub>
        <m:r>
          <m:rPr>
            <m:sty m:val="p"/>
          </m:rPr>
          <m:t>=</m:t>
        </m:r>
        <m:r>
          <m:t>2</m:t>
        </m:r>
        <m:r>
          <m:t>N</m:t>
        </m:r>
        <m:r>
          <m:rPr>
            <m:sty m:val="p"/>
          </m:rPr>
          <m:t>max</m:t>
        </m:r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480</m:t>
        </m:r>
      </m:oMath>
      <w:r>
        <w:rPr>
          <w:i/>
          <w:iCs/>
        </w:rPr>
        <w:t xml:space="preserve">;</w:t>
      </w:r>
      <w:r>
        <w:rPr>
          <w:i/>
          <w:iCs/>
        </w:rPr>
        <w:t xml:space="preserve"> </w:t>
      </w:r>
      <w:r>
        <w:rPr>
          <w:i/>
          <w:iCs/>
        </w:rPr>
        <w:t xml:space="preserve">рационализация F замыкается без скана.</w:t>
      </w:r>
    </w:p>
    <w:bookmarkEnd w:id="22"/>
    <w:p>
      <w:pPr>
        <w:pStyle w:val="BodyText"/>
      </w:pPr>
      <w:r>
        <w:rPr>
          <w:i/>
          <w:iCs/>
        </w:rPr>
        <w:t xml:space="preserve">Proof.</w:t>
      </w:r>
      <w:r>
        <w:t xml:space="preserve"> </w:t>
      </w:r>
      <w:r>
        <w:t xml:space="preserve">(H3) — замкнутая форма периода + сертификат B (</w:t>
      </w:r>
      <m:oMath>
        <m:r>
          <m:t>69</m:t>
        </m:r>
      </m:oMath>
      <w:r>
        <w:t xml:space="preserve"> </w:t>
      </w:r>
      <w:r>
        <w:t xml:space="preserve">тестов,</w:t>
      </w:r>
      <w:r>
        <w:t xml:space="preserve"> </w:t>
      </w:r>
      <m:oMath>
        <m:r>
          <m:t>3.9</m:t>
        </m:r>
        <m:r>
          <m:rPr>
            <m:sty m:val="p"/>
          </m:rPr>
          <m:t>⋅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36</m:t>
            </m:r>
          </m:sup>
        </m:sSup>
      </m:oMath>
      <w:r>
        <w:t xml:space="preserve">) + глубокие квадратуры (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121</m:t>
            </m:r>
          </m:sup>
        </m:sSup>
      </m:oMath>
      <w:r>
        <w:t xml:space="preserve">);</w:t>
      </w:r>
      <w:r>
        <w:t xml:space="preserve"> </w:t>
      </w:r>
      <w:r>
        <w:t xml:space="preserve">несводимость:</w:t>
      </w:r>
      <w:r>
        <w:t xml:space="preserve"> </w:t>
      </w:r>
      <m:oMath>
        <m:r>
          <m:t>Γ</m:t>
        </m:r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30</m:t>
            </m:r>
          </m:e>
        </m:d>
      </m:oMath>
      <w:r>
        <w:t xml:space="preserve"> </w:t>
      </w:r>
      <w:r>
        <w:t xml:space="preserve">не редуцируется инвентарём соотношений к</w:t>
      </w:r>
      <w:r>
        <w:t xml:space="preserve"> </w:t>
      </w:r>
      <w:r>
        <w:t xml:space="preserve">знаменателю</w:t>
      </w:r>
      <w:r>
        <w:t xml:space="preserve"> </w:t>
      </w:r>
      <m:oMath>
        <m:r>
          <m:t>15</m:t>
        </m:r>
      </m:oMath>
      <w:r>
        <w:t xml:space="preserve">. (H4) — LLL в</w:t>
      </w:r>
      <w:r>
        <w:t xml:space="preserve"> </w:t>
      </w:r>
      <m:oMath>
        <m:r>
          <m:rPr>
            <m:sty m:val="p"/>
            <m:scr m:val="double-struck"/>
          </m:rPr>
          <m:t>Q</m:t>
        </m:r>
        <m:d>
          <m:dPr>
            <m:begChr m:val="("/>
            <m:endChr m:val=")"/>
            <m:sepChr m:val=""/>
            <m:grow/>
          </m:dPr>
          <m:e>
            <m:rad>
              <m:radPr>
                <m:degHide m:val="on"/>
              </m:radPr>
              <m:deg/>
              <m:e>
                <m:r>
                  <m:rPr>
                    <m:sty m:val="p"/>
                  </m:rPr>
                  <m:t>−</m:t>
                </m:r>
                <m:r>
                  <m:t>3</m:t>
                </m:r>
              </m:e>
            </m:rad>
            <m:r>
              <m:rPr>
                <m:sty m:val="p"/>
              </m:rPr>
              <m:t>,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e>
        </m:d>
      </m:oMath>
      <w:r>
        <w:t xml:space="preserve"> </w:t>
      </w:r>
      <w:r>
        <w:t xml:space="preserve">восстанавливает точные координаты;</w:t>
      </w:r>
      <w:r>
        <w:t xml:space="preserve"> </w:t>
      </w:r>
      <m:oMath>
        <m:r>
          <m:t>R</m:t>
        </m:r>
        <m:acc>
          <m:accPr>
            <m:chr m:val="‾"/>
          </m:accPr>
          <m:e>
            <m:r>
              <m:t>R</m:t>
            </m:r>
          </m:e>
        </m:acc>
        <m:r>
          <m:rPr>
            <m:sty m:val="p"/>
          </m:rPr>
          <m:t>=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3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d>
          </m:e>
          <m:sup>
            <m:r>
              <m:t>2</m:t>
            </m:r>
          </m:sup>
        </m:sSup>
      </m:oMath>
      <w:r>
        <w:t xml:space="preserve"> </w:t>
      </w:r>
      <w:r>
        <w:t xml:space="preserve">точное.</w:t>
      </w:r>
      <w:r>
        <w:t xml:space="preserve"> </w:t>
      </w:r>
      <w:r>
        <w:t xml:space="preserve">(H5) — фазы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7</m:t>
        </m:r>
      </m:oMath>
      <w:r>
        <w:t xml:space="preserve"> </w:t>
      </w:r>
      <w:r>
        <w:t xml:space="preserve">(Клейн),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15</m:t>
        </m:r>
      </m:oMath>
      <w:r>
        <w:t xml:space="preserve">,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30</m:t>
        </m:r>
      </m:oMath>
      <w:r>
        <w:t xml:space="preserve"> </w:t>
      </w:r>
      <w:r>
        <w:t xml:space="preserve">— уровни</w:t>
      </w:r>
      <w:r>
        <w:t xml:space="preserve"> </w:t>
      </w:r>
      <w:r>
        <w:t xml:space="preserve">конструкции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N</m:t>
        </m:r>
      </m:oMath>
      <w:r>
        <w:t xml:space="preserve">; веса согласованы с таблицами</w:t>
      </w:r>
      <w:r>
        <w:t xml:space="preserve"> </w:t>
      </w:r>
      <w:r>
        <w:t xml:space="preserve">Рамануджа. (H6) —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30</m:t>
        </m:r>
        <m:r>
          <m:rPr>
            <m:sty m:val="p"/>
          </m:rPr>
          <m:t>⋅</m:t>
        </m:r>
        <m:r>
          <m:t>8</m:t>
        </m:r>
        <m:r>
          <m:rPr>
            <m:sty m:val="p"/>
          </m:rPr>
          <m:t>=</m:t>
        </m:r>
        <m:r>
          <m:t>480</m:t>
        </m:r>
      </m:oMath>
      <w:r>
        <w:t xml:space="preserve">; все измерения внутри</w:t>
      </w:r>
      <w:r>
        <w:t xml:space="preserve"> </w:t>
      </w:r>
      <w:r>
        <w:t xml:space="preserve">интервалов единственности F1. ◻</w:t>
      </w:r>
    </w:p>
    <w:p>
      <w:pPr>
        <w:pStyle w:val="BlockText"/>
      </w:pPr>
      <w:r>
        <w:rPr>
          <w:b/>
          <w:bCs/>
        </w:rPr>
        <w:t xml:space="preserve">Данные протокола (Клейн — стенд в составе H).</w:t>
      </w:r>
      <w:r>
        <w:t xml:space="preserve"> </w:t>
      </w:r>
      <w:r>
        <w:t xml:space="preserve">Гладкость:</w:t>
      </w:r>
      <w:r>
        <w:t xml:space="preserve"> </w:t>
      </w:r>
      <m:oMath>
        <m:r>
          <m:t>28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x</m:t>
                </m:r>
                <m:r>
                  <m:t>y</m:t>
                </m:r>
                <m:r>
                  <m:t>z</m:t>
                </m:r>
              </m:e>
            </m:d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; род</w:t>
      </w:r>
      <w:r>
        <w:t xml:space="preserve"> </w:t>
      </w:r>
      <m:oMath>
        <m:r>
          <m:t>3</m:t>
        </m:r>
      </m:oMath>
      <w:r>
        <w:t xml:space="preserve">;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343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7</m:t>
            </m:r>
          </m:e>
          <m:sup>
            <m:r>
              <m:t>3</m:t>
            </m:r>
          </m:sup>
        </m:sSup>
      </m:oMath>
      <w:r>
        <w:t xml:space="preserve">;</w:t>
      </w:r>
      <w:r>
        <w:t xml:space="preserve"> </w:t>
      </w:r>
      <m:oMath>
        <m:sSub>
          <m:e>
            <m:r>
              <m:t>c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105</m:t>
        </m:r>
      </m:oMath>
      <w:r>
        <w:t xml:space="preserve">;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3375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15</m:t>
            </m:r>
          </m:e>
          <m:sup>
            <m:r>
              <m:t>3</m:t>
            </m:r>
          </m:sup>
        </m:sSup>
      </m:oMath>
      <w:r>
        <w:t xml:space="preserve">; форма</w:t>
      </w:r>
      <w:r>
        <w:t xml:space="preserve"> </w:t>
      </w:r>
      <m:oMath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v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35</m:t>
        </m:r>
        <m:r>
          <m:t>v</m:t>
        </m:r>
        <m:r>
          <m:rPr>
            <m:sty m:val="p"/>
          </m:rPr>
          <m:t>−</m:t>
        </m:r>
        <m:r>
          <m:t>98</m:t>
        </m:r>
      </m:oMath>
      <w:r>
        <w:t xml:space="preserve">; корни</w:t>
      </w:r>
      <w:r>
        <w:t xml:space="preserve"> </w:t>
      </w:r>
      <m:oMath>
        <m:r>
          <m:t>7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7</m:t>
            </m:r>
            <m:r>
              <m:rPr>
                <m:sty m:val="p"/>
              </m:rPr>
              <m:t>±</m:t>
            </m:r>
            <m:rad>
              <m:radPr>
                <m:degHide m:val="on"/>
              </m:radPr>
              <m:deg/>
              <m:e>
                <m:r>
                  <m:rPr>
                    <m:sty m:val="p"/>
                  </m:rPr>
                  <m:t>−</m:t>
                </m:r>
                <m:r>
                  <m:t>7</m:t>
                </m:r>
              </m:e>
            </m:rad>
          </m:num>
          <m:den>
            <m:r>
              <m:t>2</m:t>
            </m:r>
          </m:den>
        </m:f>
      </m:oMath>
      <w:r>
        <w:t xml:space="preserve">;</w:t>
      </w:r>
      <w:r>
        <w:t xml:space="preserve"> </w:t>
      </w:r>
      <m:oMath>
        <m:r>
          <m:t>Ω</m:t>
        </m:r>
        <m:r>
          <m:rPr>
            <m:sty m:val="p"/>
          </m:rPr>
          <m:t>=</m:t>
        </m:r>
        <m:r>
          <m:t>1.9333117056</m:t>
        </m:r>
        <m:r>
          <m:rPr>
            <m:sty m:val="p"/>
          </m:rPr>
          <m:t>…</m:t>
        </m:r>
      </m:oMath>
      <w:r>
        <w:t xml:space="preserve"> </w:t>
      </w:r>
      <w:r>
        <w:t xml:space="preserve">(три схемы,</w:t>
      </w:r>
      <w:r>
        <w:t xml:space="preserve"> </w:t>
      </w:r>
      <w:r>
        <w:t xml:space="preserve">согласие</w:t>
      </w:r>
      <w:r>
        <w:t xml:space="preserve"> </w:t>
      </w:r>
      <m:oMath>
        <m:r>
          <m:t>1.4</m:t>
        </m:r>
        <m:r>
          <m:rPr>
            <m:sty m:val="p"/>
          </m:rPr>
          <m:t>⋅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32</m:t>
            </m:r>
          </m:sup>
        </m:sSup>
      </m:oMath>
      <w:r>
        <w:t xml:space="preserve">);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rPr>
                    <m:sty m:val="p"/>
                  </m:rPr>
                  <m:t>−</m:t>
                </m:r>
                <m:r>
                  <m:t>7</m:t>
                </m:r>
              </m:e>
            </m:rad>
          </m:e>
        </m:d>
        <m:r>
          <m:rPr>
            <m:sty m:val="p"/>
          </m:rPr>
          <m:t>/</m:t>
        </m:r>
        <m:r>
          <m:t>2</m:t>
        </m:r>
      </m:oMath>
      <w:r>
        <w:t xml:space="preserve">;</w:t>
      </w:r>
      <w:r>
        <w:t xml:space="preserve"> </w:t>
      </w:r>
      <m:oMath>
        <m:r>
          <m:t>j</m:t>
        </m:r>
        <m:d>
          <m:dPr>
            <m:begChr m:val="("/>
            <m:endChr m:val=")"/>
            <m:sepChr m:val=""/>
            <m:grow/>
          </m:dPr>
          <m:e>
            <m:r>
              <m:t>τ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r>
          <m:t>3375</m:t>
        </m:r>
      </m:oMath>
      <w:r>
        <w:t xml:space="preserve"> </w:t>
      </w:r>
      <w:r>
        <w:t xml:space="preserve">из периода (</w:t>
      </w:r>
      <m:oMath>
        <m:r>
          <m:t>57</m:t>
        </m:r>
      </m:oMath>
      <w:r>
        <w:t xml:space="preserve"> </w:t>
      </w:r>
      <w:r>
        <w:t xml:space="preserve">знаков, якорь</w:t>
      </w:r>
      <w:r>
        <w:t xml:space="preserve"> </w:t>
      </w:r>
      <m:oMath>
        <m:r>
          <m:t>j</m:t>
        </m:r>
        <m:d>
          <m:dPr>
            <m:begChr m:val="("/>
            <m:endChr m:val=")"/>
            <m:sepChr m:val=""/>
            <m:grow/>
          </m:dPr>
          <m:e>
            <m:r>
              <m:t>i</m:t>
            </m:r>
          </m:e>
        </m:d>
        <m:r>
          <m:rPr>
            <m:sty m:val="p"/>
          </m:rPr>
          <m:t>=</m:t>
        </m:r>
        <m:r>
          <m:t>1728</m:t>
        </m:r>
      </m:oMath>
      <w:r>
        <w:t xml:space="preserve">);</w:t>
      </w:r>
      <w:r>
        <w:t xml:space="preserve"> </w:t>
      </w:r>
      <m:oMath>
        <m:r>
          <m:t>ζ</m:t>
        </m:r>
        <m:r>
          <m:rPr>
            <m:sty m:val="p"/>
          </m:rPr>
          <m:t>+</m:t>
        </m:r>
        <m:sSup>
          <m:e>
            <m:r>
              <m:t>ζ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ζ</m:t>
            </m:r>
          </m:e>
          <m:sup>
            <m:r>
              <m:t>4</m:t>
            </m:r>
          </m:sup>
        </m:sSup>
        <m:r>
          <m:rPr>
            <m:sty m:val="p"/>
          </m:rPr>
          <m:t>=</m:t>
        </m:r>
        <m:r>
          <m:t>τ</m:t>
        </m:r>
        <m:r>
          <m:rPr>
            <m:sty m:val="p"/>
          </m:rPr>
          <m:t>−</m:t>
        </m:r>
        <m:r>
          <m:t>1</m:t>
        </m:r>
      </m:oMath>
      <w:r>
        <w:t xml:space="preserve">; изотипика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;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</m:oMath>
      <w:r>
        <w:t xml:space="preserve">(Хивуд)</w:t>
      </w:r>
      <m:oMath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 кратность</w:t>
      </w:r>
      <w:r>
        <w:t xml:space="preserve"> </w:t>
      </w:r>
      <m:oMath>
        <m:r>
          <m:t>6</m:t>
        </m:r>
      </m:oMath>
      <w:r>
        <w:t xml:space="preserve">; код Фано</w:t>
      </w:r>
      <w:r>
        <w:t xml:space="preserve"> </w:t>
      </w:r>
      <m:oMath>
        <m:sSub>
          <m:e>
            <m:r>
              <m:t>C</m:t>
            </m:r>
          </m:e>
          <m:sub>
            <m:r>
              <m:t>7</m:t>
            </m:r>
          </m:sub>
        </m:sSub>
        <m:r>
          <m:rPr>
            <m:sty m:val="p"/>
          </m:rPr>
          <m:t>+</m:t>
        </m:r>
        <m:sSub>
          <m:e>
            <m:r>
              <m:t>μ</m:t>
            </m:r>
          </m:e>
          <m:sub>
            <m:r>
              <m:t>4</m:t>
            </m:r>
          </m:sub>
        </m:sSub>
      </m:oMath>
      <w:r>
        <w:t xml:space="preserve">.</w:t>
      </w:r>
    </w:p>
    <w:p>
      <w:pPr>
        <w:pStyle w:val="BlockText"/>
      </w:pPr>
      <w:r>
        <w:rPr>
          <w:b/>
          <w:bCs/>
        </w:rPr>
        <w:t xml:space="preserve">Сводка доказанного (итог).</w:t>
      </w:r>
      <w:r>
        <w:t xml:space="preserve"> </w:t>
      </w:r>
      <w:r>
        <w:t xml:space="preserve">Сертификат H принят (</w:t>
      </w:r>
      <m:oMath>
        <m:r>
          <m:t>6</m:t>
        </m:r>
        <m:r>
          <m:rPr>
            <m:sty m:val="p"/>
          </m:rPr>
          <m:t>/</m:t>
        </m:r>
        <m:r>
          <m:t>6</m:t>
        </m:r>
      </m:oMath>
      <w:r>
        <w:t xml:space="preserve">): циклотомическая решётка, объём</w:t>
      </w:r>
      <w:r>
        <w:t xml:space="preserve"> </w:t>
      </w:r>
      <m:oMath>
        <m:r>
          <m:t>1125</m:t>
        </m:r>
      </m:oMath>
      <w:r>
        <w:t xml:space="preserve"> </w:t>
      </w:r>
      <w:r>
        <w:t xml:space="preserve">в полной</w:t>
      </w:r>
      <w:r>
        <w:t xml:space="preserve"> </w:t>
      </w:r>
      <m:oMath>
        <m:r>
          <m:t>Γ</m:t>
        </m:r>
      </m:oMath>
      <w:r>
        <w:t xml:space="preserve">-нормировке,</w:t>
      </w:r>
      <w:r>
        <w:t xml:space="preserve"> </w:t>
      </w:r>
      <m:oMath>
        <m:r>
          <m:t>Γ</m:t>
        </m:r>
      </m:oMath>
      <w:r>
        <w:t xml:space="preserve">-мономиальные периоды,</w:t>
      </w:r>
      <w:r>
        <w:t xml:space="preserve"> </w:t>
      </w:r>
      <w:r>
        <w:t xml:space="preserve">Гросс-нормировка, лестница, знаменатели — арка программы</w:t>
      </w:r>
      <w:r>
        <w:t xml:space="preserve"> </w:t>
      </w:r>
      <w:r>
        <w:t xml:space="preserve">замкнута. Время счёта  2 минуты.</w:t>
      </w:r>
    </w:p>
    <w:p>
      <w:pPr>
        <w:pStyle w:val="BlockText"/>
      </w:pPr>
      <w:r>
        <w:rPr>
          <w:b/>
          <w:bCs/>
        </w:rPr>
        <w:t xml:space="preserve">Верификация (как воспроизвести).</w:t>
      </w:r>
      <w:r>
        <w:t xml:space="preserve"> </w:t>
      </w:r>
      <w:r>
        <w:rPr>
          <w:rStyle w:val="VerbatimChar"/>
        </w:rPr>
        <w:t xml:space="preserve">python3 laboratory.py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«Сертификаты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H»;</w:t>
      </w:r>
      <w:r>
        <w:t xml:space="preserve"> </w:t>
      </w:r>
      <w:r>
        <w:t xml:space="preserve">«Стенды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Клейн»; Lean:</w:t>
      </w:r>
      <w:r>
        <w:t xml:space="preserve"> </w:t>
      </w:r>
      <w:r>
        <w:rPr>
          <w:rStyle w:val="VerbatimChar"/>
        </w:rPr>
        <w:t xml:space="preserve">stand_disc</w:t>
      </w:r>
      <w:r>
        <w:t xml:space="preserve">,</w:t>
      </w:r>
      <w:r>
        <w:t xml:space="preserve"> </w:t>
      </w:r>
      <w:r>
        <w:rPr>
          <w:rStyle w:val="VerbatimChar"/>
        </w:rPr>
        <w:t xml:space="preserve">snf_product</w:t>
      </w:r>
      <w:r>
        <w:t xml:space="preserve">,</w:t>
      </w:r>
      <w:r>
        <w:t xml:space="preserve"> </w:t>
      </w:r>
      <w:r>
        <w:rPr>
          <w:rStyle w:val="VerbatimChar"/>
        </w:rPr>
        <w:t xml:space="preserve">klein_integers</w:t>
      </w:r>
      <w:r>
        <w:t xml:space="preserve">.</w:t>
      </w:r>
    </w:p>
    <w:p>
      <w:pPr>
        <w:pStyle w:val="FirstParagraph"/>
      </w:pPr>
      <w:r>
        <w:rPr>
          <w:i/>
          <w:color w:val="707070"/>
          <w:sz w:val="18"/>
        </w:rPr>
        <w:t xml:space="preserve"> </w:t>
      </w:r>
      <w:r>
        <w:rPr>
          <w:i/>
          <w:color w:val="707070"/>
          <w:sz w:val="18"/>
        </w:rPr>
        <w:t xml:space="preserve">Лицензия: индивидуальная исключительная лицензия Исаева Исхака Хамзатовича.</w:t>
      </w:r>
      <w:r>
        <w:rPr>
          <w:i/>
          <w:color w:val="707070"/>
          <w:sz w:val="18"/>
        </w:rPr>
        <w:t xml:space="preserve"> </w:t>
      </w:r>
      <w:r>
        <w:rPr>
          <w:i/>
          <w:color w:val="707070"/>
          <w:sz w:val="18"/>
        </w:rPr>
        <w:t xml:space="preserve">Все права на вычисления, формулы и тексты принадлежат автору.</w:t>
      </w:r>
      <w:r>
        <w:rPr>
          <w:i/>
          <w:color w:val="707070"/>
          <w:sz w:val="18"/>
        </w:rPr>
        <w:t xml:space="preserve"> </w:t>
      </w:r>
      <w:r>
        <w:rPr>
          <w:i/>
          <w:color w:val="707070"/>
          <w:sz w:val="18"/>
        </w:rPr>
        <w:t xml:space="preserve">Верификация:</w:t>
      </w:r>
      <w:r>
        <w:rPr>
          <w:i/>
          <w:color w:val="707070"/>
          <w:sz w:val="18"/>
        </w:rPr>
        <w:t xml:space="preserve"> </w:t>
      </w:r>
      <w:r>
        <w:rPr>
          <w:rStyle w:val="VerbatimChar"/>
          <w:i/>
          <w:color w:val="707070"/>
          <w:sz w:val="18"/>
        </w:rPr>
        <w:t xml:space="preserve">python3 laboratory.py</w:t>
      </w:r>
      <w:r>
        <w:rPr>
          <w:i/>
          <w:color w:val="707070"/>
          <w:sz w:val="18"/>
        </w:rPr>
        <w:t xml:space="preserve"> </w:t>
      </w:r>
      <w:r>
        <w:rPr>
          <w:i/>
          <w:color w:val="707070"/>
          <w:sz w:val="18"/>
        </w:rPr>
        <w:t xml:space="preserve">(пункт «Стенды»/«Сертификаты»),</w:t>
      </w:r>
      <w:r>
        <w:rPr>
          <w:i/>
          <w:color w:val="707070"/>
          <w:sz w:val="18"/>
        </w:rPr>
        <w:t xml:space="preserve"> </w:t>
      </w:r>
      <w:r>
        <w:rPr>
          <w:i/>
          <w:color w:val="707070"/>
          <w:sz w:val="18"/>
        </w:rPr>
        <w:t xml:space="preserve">Lean:</w:t>
      </w:r>
      <w:r>
        <w:rPr>
          <w:i/>
          <w:color w:val="707070"/>
          <w:sz w:val="18"/>
        </w:rPr>
        <w:t xml:space="preserve"> </w:t>
      </w:r>
      <w:r>
        <w:rPr>
          <w:rStyle w:val="VerbatimChar"/>
          <w:i/>
          <w:color w:val="707070"/>
          <w:sz w:val="18"/>
        </w:rPr>
        <w:t xml:space="preserve">verification/lean/HodgeLaboratory.lean</w:t>
      </w:r>
      <w:r>
        <w:rPr>
          <w:i/>
          <w:color w:val="707070"/>
          <w:sz w:val="18"/>
        </w:rPr>
        <w:t xml:space="preserve">.</w:t>
      </w:r>
      <w:r>
        <w:rPr>
          <w:i/>
          <w:color w:val="707070"/>
          <w:sz w:val="18"/>
        </w:rPr>
        <w:t xml:space="preserve"> </w:t>
      </w:r>
    </w:p>
    <w:bookmarkEnd w:id="23"/>
    <w:sectPr>
      <w:pgMar w:bottom="1361" w:left="1361" w:right="1361" w:top="1361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20" w:line="312" w:lineRule="auto"/>
    </w:pPr>
    <w:rPr>
      <w:rFonts w:ascii="Times New Roman" w:cs="Times New Roman" w:eastAsia="Times New Roman" w:hAnsi="Times New Roman"/>
      <w:sz w:val="22"/>
    </w:rPr>
  </w:style>
  <w:style w:styleId="BodyText" w:type="paragraph">
    <w:name w:val="Body Text"/>
    <w:basedOn w:val="Normal"/>
    <w:link w:val="BodyTextChar"/>
    <w:qFormat/>
    <w:pPr>
      <w:spacing w:after="180" w:before="180" w:line="312" w:lineRule="auto"/>
      <w:jc w:val="both"/>
    </w:pPr>
    <w:rPr>
      <w:rFonts w:ascii="Times New Roman" w:cs="Times New Roman" w:eastAsia="Times New Roman" w:hAnsi="Times New Roman"/>
      <w:sz w:val="22"/>
    </w:rPr>
  </w:style>
  <w:style w:customStyle="1" w:styleId="FirstParagraph" w:type="paragraph">
    <w:name w:val="First Paragraph"/>
    <w:basedOn w:val="BodyText"/>
    <w:next w:val="BodyText"/>
    <w:qFormat/>
    <w:pPr>
      <w:spacing w:line="312" w:lineRule="auto"/>
      <w:jc w:val="both"/>
    </w:pPr>
    <w:rPr>
      <w:rFonts w:ascii="Times New Roman" w:cs="Times New Roman" w:eastAsia="Times New Roman" w:hAnsi="Times New Roman"/>
      <w:sz w:val="22"/>
    </w:rPr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pBdr>
        <w:left w:color="1F4E79" w:space="6" w:sz="18" w:val="single"/>
      </w:pBdr>
      <w:shd w:fill="F4F6F9" w:val="clear"/>
      <w:spacing w:after="160" w:before="160" w:line="300" w:lineRule="auto"/>
      <w:ind w:firstLine="0" w:left="255" w:right="85"/>
      <w:jc w:val="both"/>
    </w:pPr>
    <w:rPr>
      <w:rFonts w:ascii="Times New Roman" w:cs="Times New Roman" w:eastAsia="Times New Roman" w:hAnsi="Times New Roman"/>
      <w:sz w:val="21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  <w:jc w:val="center"/>
    </w:pPr>
    <w:rPr>
      <w:rFonts w:ascii="Times New Roman" w:cs="Times New Roman" w:eastAsia="Times New Roman" w:hAnsi="Times New Roman"/>
      <w:i/>
      <w:color w:val="555555"/>
      <w:sz w:val="19"/>
    </w:rPr>
  </w:style>
  <w:style w:customStyle="1" w:styleId="TableCaption" w:type="paragraph">
    <w:name w:val="Table Caption"/>
    <w:basedOn w:val="Caption"/>
    <w:pPr>
      <w:keepNext/>
      <w:jc w:val="center"/>
    </w:pPr>
    <w:rPr>
      <w:rFonts w:ascii="Times New Roman" w:cs="Times New Roman" w:eastAsia="Times New Roman" w:hAnsi="Times New Roman"/>
      <w:color w:val="555555"/>
      <w:sz w:val="19"/>
    </w:rPr>
  </w:style>
  <w:style w:customStyle="1" w:styleId="ImageCaption" w:type="paragraph">
    <w:name w:val="Image Caption"/>
    <w:basedOn w:val="Caption"/>
    <w:pPr>
      <w:jc w:val="center"/>
    </w:pPr>
    <w:rPr>
      <w:rFonts w:ascii="Times New Roman" w:cs="Times New Roman" w:eastAsia="Times New Roman" w:hAnsi="Times New Roman"/>
      <w:color w:val="555555"/>
      <w:sz w:val="19"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Сертификат H и стенд Клейна</dc:title>
  <dc:creator>Исаев Исхак Хамзатович</dc:creator>
  <dc:language>ru-RU</dc:language>
  <cp:keywords>hodge-laboratory, theorem monograph, RU</cp:keywords>
  <dcterms:created xsi:type="dcterms:W3CDTF">2026-09-23T16:56:53Z</dcterms:created>
  <dcterms:modified xsi:type="dcterms:W3CDTF">2026-09-23T16:56:53Z</dcterms:modified>
  <dc:subject>Standalone theorem monograph 16/16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