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3196"/>
            </w:pPr>
          </w:p>
          <w:p>
            <w:pPr>
              <w:spacing w:after="400" w:line="414" w:lineRule="atLeast"/>
              <w:jc w:val="center"/>
            </w:pPr>
            <w:r>
              <w:rPr>
                <w:rFonts w:ascii="Times New Roman" w:eastAsia="SimSun"/>
                <w:color w:val="162032"/>
                <w:spacing w:val="60"/>
                <w:sz w:val="36"/>
                <w:szCs w:val="36"/>
              </w:rPr>
              <w:t xml:space="preserve">CHESS-DYNAMICS-LAB</w:t>
            </w:r>
          </w:p>
          <w:p>
            <w:pPr>
              <w:spacing w:after="120" w:line="690" w:lineRule="atLeast"/>
              <w:jc w:val="center"/>
            </w:pPr>
            <w:r>
              <w:rPr>
                <w:rFonts w:ascii="Times New Roman" w:eastAsia="SimSun"/>
                <w:b/>
                <w:bCs/>
                <w:color w:val="000000"/>
                <w:sz w:val="60"/>
                <w:szCs w:val="60"/>
              </w:rPr>
              <w:t xml:space="preserve">The Position Lagrangian:</w:t>
            </w:r>
          </w:p>
          <w:p>
            <w:pPr>
              <w:spacing w:after="120" w:line="690" w:lineRule="atLeast"/>
              <w:jc w:val="center"/>
            </w:pPr>
            <w:r>
              <w:rPr>
                <w:rFonts w:ascii="Times New Roman" w:eastAsia="SimSun"/>
                <w:b/>
                <w:bCs/>
                <w:color w:val="000000"/>
                <w:sz w:val="60"/>
                <w:szCs w:val="60"/>
              </w:rPr>
              <w:t xml:space="preserve">the Particle Energy and</w:t>
            </w:r>
          </w:p>
          <w:p>
            <w:pPr>
              <w:spacing w:after="300" w:line="690" w:lineRule="atLeast"/>
              <w:jc w:val="center"/>
            </w:pPr>
            <w:r>
              <w:rPr>
                <w:rFonts w:ascii="Times New Roman" w:eastAsia="SimSun"/>
                <w:b/>
                <w:bCs/>
                <w:color w:val="000000"/>
                <w:sz w:val="60"/>
                <w:szCs w:val="60"/>
              </w:rPr>
              <w:t xml:space="preserve">Its Certificates</w:t>
            </w:r>
          </w:p>
          <w:p>
            <w:pPr>
              <w:spacing w:after="200" w:line="299" w:lineRule="atLeast"/>
              <w:jc w:val="center"/>
            </w:pPr>
            <w:r>
              <w:rPr>
                <w:rFonts w:ascii="Times New Roman" w:eastAsia="SimSun"/>
                <w:color w:val="404040"/>
                <w:sz w:val="26"/>
                <w:szCs w:val="26"/>
              </w:rPr>
              <w:t xml:space="preserve">Theorem monograph T05 of the chess-dynamics-lab program — the TORUS layer</w:t>
            </w:r>
          </w:p>
          <w:p>
            <w:pPr>
              <w:spacing w:before="1067"/>
            </w:pPr>
          </w:p>
          <w:tbl>
            <w:tblPr>
              <w:tblW w:type="pct" w:w="55%"/>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Author:</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Isaev Iskhak Khamzatovich</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Series:</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Theorem monograph T05</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Program:</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chess-dynamics-lab</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Layer:</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the TORUS layer</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License:</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Individual exclusive</w:t>
                  </w:r>
                </w:p>
              </w:tc>
            </w:tr>
          </w:tbl>
          <w:p>
            <w:pPr>
              <w:spacing w:before="4066"/>
            </w:pPr>
          </w:p>
          <w:p>
            <w:pPr>
              <w:jc w:val="center"/>
            </w:pPr>
            <w:r>
              <w:rPr>
                <w:rFonts w:ascii="Times New Roman" w:eastAsia="SimSun"/>
                <w:color w:val="404040"/>
                <w:sz w:val="20"/>
                <w:szCs w:val="20"/>
              </w:rPr>
              <w:t xml:space="preserve">© 2026 chess-dynamics-lab · Individual exclusive license</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Sun"/>
          <w:b/>
          <w:bCs/>
          <w:sz w:val="32"/>
          <w:szCs w:val="32"/>
        </w:rPr>
        <w:t xml:space="preserve">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Setting</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Theorem</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Proof</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Protocol data</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Summary of what is proved</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Verification</w:t>
            </w:r>
            <w:r>
              <w:tab/>
            </w:r>
            <w:r>
              <w:fldChar w:fldCharType="begin"/>
            </w:r>
            <w:r>
              <w:instrText xml:space="preserve"> PAGEREF _Toc100005 \h </w:instrText>
            </w:r>
            <w:r>
              <w:fldChar w:fldCharType="separate"/>
            </w:r>
            <w:r>
              <w:t>4</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spacing w:after="240"/>
        <w:jc w:val="center"/>
      </w:pPr>
      <w:r>
        <w:rPr>
          <w:rFonts w:ascii="Times New Roman" w:eastAsia="SimSun"/>
          <w:b/>
          <w:bCs/>
          <w:color w:val="8B7E5A"/>
          <w:sz w:val="20"/>
          <w:szCs w:val="20"/>
        </w:rPr>
        <w:t xml:space="preserve">THEOREM MONOGRAPH T05 · CHESS-DYNAMICS-LAB</w:t>
      </w:r>
    </w:p>
    <w:p>
      <w:pPr>
        <w:spacing w:after="160" w:line="391" w:lineRule="atLeast"/>
        <w:jc w:val="center"/>
      </w:pPr>
      <w:r>
        <w:rPr>
          <w:rFonts w:ascii="Times New Roman" w:eastAsia="SimSun"/>
          <w:b/>
          <w:bCs/>
          <w:color w:val="000000"/>
          <w:sz w:val="34"/>
          <w:szCs w:val="34"/>
        </w:rPr>
        <w:t xml:space="preserve">The Position Lagrangian: the Particle Energy and Its Certificates</w:t>
      </w:r>
    </w:p>
    <w:p>
      <w:pPr>
        <w:spacing w:after="120"/>
        <w:jc w:val="center"/>
      </w:pPr>
      <w:r>
        <w:rPr>
          <w:rFonts w:ascii="Times New Roman" w:eastAsia="SimSun"/>
          <w:color w:val="404040"/>
          <w:sz w:val="24"/>
          <w:szCs w:val="24"/>
        </w:rPr>
        <w:t xml:space="preserve">Theorem monograph T05 of the chess-dynamics-lab program — the TORUS layer</w:t>
      </w:r>
    </w:p>
    <w:p>
      <w:pPr>
        <w:spacing w:after="40"/>
        <w:jc w:val="center"/>
      </w:pPr>
      <w:r>
        <w:rPr>
          <w:rFonts w:ascii="Times New Roman" w:eastAsia="SimSun"/>
          <w:color w:val="000000"/>
          <w:sz w:val="22"/>
          <w:szCs w:val="22"/>
        </w:rPr>
        <w:t xml:space="preserve">Isaev Iskhak Khamzatovich</w:t>
      </w:r>
    </w:p>
    <w:p>
      <w:pPr>
        <w:spacing w:after="60"/>
        <w:jc w:val="center"/>
      </w:pPr>
      <w:r>
        <w:rPr>
          <w:rFonts w:ascii="Times New Roman" w:eastAsia="SimSun"/>
          <w:color w:val="606060"/>
          <w:sz w:val="18"/>
          <w:szCs w:val="18"/>
        </w:rPr>
        <w:t xml:space="preserve">Keywords: Lagrangian, position energy, mobility, determinism</w:t>
      </w:r>
    </w:p>
    <w:p>
      <w:pPr>
        <w:pBdr>
          <w:bottom w:val="single" w:color="8B7E5A" w:sz="8" w:space="4"/>
        </w:pBdr>
        <w:spacing w:after="240"/>
      </w:pPr>
    </w:p>
    <w:p>
      <w:pPr>
        <w:pStyle w:val="Heading1"/>
        <w:spacing w:after="160" w:before="360" w:line="312"/>
      </w:pPr>
      <w:bookmarkStart w:id="100000" w:name="_Toc100000"/>
      <w:r>
        <w:rPr>
          <w:rFonts w:ascii="Times New Roman" w:eastAsia="SimSun"/>
          <w:b/>
          <w:bCs/>
          <w:color w:val="000000"/>
          <w:sz w:val="30"/>
          <w:szCs w:val="30"/>
        </w:rPr>
        <w:t xml:space="preserve">Setting</w:t>
      </w:r>
      <w:bookmarkEnd w:id="100000"/>
    </w:p>
    <w:p>
      <w:pPr>
        <w:spacing w:after="80" w:line="312"/>
        <w:ind w:firstLine="480"/>
        <w:jc w:val="both"/>
      </w:pPr>
      <w:r>
        <w:rPr>
          <w:rFonts w:ascii="Times New Roman" w:eastAsia="SimSun"/>
          <w:color w:val="000000"/>
          <w:sz w:val="24"/>
          <w:szCs w:val="24"/>
        </w:rPr>
        <w:t xml:space="preserve">The TORUS layer is the kinetic layer of the model: a particle move is a state transition, and the position carries energy. We define the Lagrangian energy of a position as the weighted sum of the potential (material) and kinetic (mobility) terms and prove its basic properties: computability, determinism, the initial certificate values and the upper bounds. This energy is what the full-game search (T10) minimizes and what the web laboratory displays as the energy panel.</w:t>
      </w:r>
    </w:p>
    <w:p>
      <w:pPr>
        <w:spacing w:after="80" w:line="312"/>
        <w:ind w:firstLine="480"/>
        <w:jc w:val="both"/>
      </w:pPr>
      <w:r>
        <w:rPr>
          <w:rFonts w:ascii="Times New Roman" w:eastAsia="SimSun"/>
          <w:color w:val="000000"/>
          <w:sz w:val="24"/>
          <w:szCs w:val="24"/>
        </w:rPr>
        <w:t xml:space="preserve">The choice of weights answers two requirements: the energy must be integral in hundredths (for exact comparisons in the search) and must vanish on balanced symmetric positions. The material weight is 100 points per pawn unit, the kinetic coefficient is </w:t>
      </w:r>
      <w:r>
        <w:rPr>
          <w:rFonts w:ascii="Times New Roman" w:eastAsia="SimSun"/>
          <w:i/>
          <w:iCs/>
          <w:color w:val="000000"/>
          <w:sz w:val="24"/>
          <w:szCs w:val="24"/>
        </w:rPr>
        <w:t xml:space="preserve">μ = 0.1</w:t>
      </w:r>
      <w:r>
        <w:rPr>
          <w:rFonts w:ascii="Times New Roman" w:eastAsia="SimSun"/>
          <w:color w:val="000000"/>
          <w:sz w:val="24"/>
          <w:szCs w:val="24"/>
        </w:rPr>
        <w:t xml:space="preserve"> moves per point: mobility matters but does not dominate the material — the classical proportion of chess practice, adopted as a definition.</w:t>
      </w:r>
    </w:p>
    <w:p>
      <w:pPr>
        <w:pStyle w:val="Heading1"/>
        <w:spacing w:after="160" w:before="360" w:line="312"/>
      </w:pPr>
      <w:bookmarkStart w:id="100001" w:name="_Toc100001"/>
      <w:r>
        <w:rPr>
          <w:rFonts w:ascii="Times New Roman" w:eastAsia="SimSun"/>
          <w:b/>
          <w:bCs/>
          <w:color w:val="000000"/>
          <w:sz w:val="30"/>
          <w:szCs w:val="30"/>
        </w:rPr>
        <w:t xml:space="preserve">Theorem</w:t>
      </w:r>
      <w:bookmarkEnd w:id="100001"/>
    </w:p>
    <w:p>
      <w:pPr>
        <w:pBdr>
          <w:left w:val="single" w:color="8B7E5A" w:sz="24" w:space="8"/>
        </w:pBdr>
        <w:shd w:fill="F6F4EF" w:val="clear"/>
        <w:spacing w:after="120" w:before="120" w:line="312"/>
        <w:ind w:left="240" w:right="120"/>
        <w:jc w:val="both"/>
      </w:pPr>
      <w:r>
        <w:rPr>
          <w:rFonts w:ascii="Times New Roman" w:eastAsia="SimSun"/>
          <w:b/>
          <w:bCs/>
          <w:color w:val="000000"/>
          <w:sz w:val="24"/>
          <w:szCs w:val="24"/>
        </w:rPr>
        <w:t xml:space="preserve">Theorem T05 (the position Lagrangian).</w:t>
      </w:r>
      <w:r>
        <w:rPr>
          <w:sz w:val="24"/>
          <w:szCs w:val="24"/>
        </w:rPr>
        <w:t xml:space="preserve"> </w:t>
      </w:r>
      <w:r>
        <w:rPr>
          <w:rFonts w:ascii="Times New Roman" w:eastAsia="SimSun"/>
          <w:color w:val="000000"/>
          <w:sz w:val="24"/>
          <w:szCs w:val="24"/>
        </w:rPr>
        <w:t xml:space="preserve">Let </w:t>
      </w:r>
      <w:r>
        <w:rPr>
          <w:rFonts w:ascii="Times New Roman" w:eastAsia="SimSun"/>
          <w:i/>
          <w:iCs/>
          <w:color w:val="000000"/>
          <w:sz w:val="24"/>
          <w:szCs w:val="24"/>
        </w:rPr>
        <w:t xml:space="preserve">M(s)</w:t>
      </w:r>
      <w:r>
        <w:rPr>
          <w:rFonts w:ascii="Times New Roman" w:eastAsia="SimSun"/>
          <w:color w:val="000000"/>
          <w:sz w:val="24"/>
          <w:szCs w:val="24"/>
        </w:rPr>
        <w:t xml:space="preserve"> be the material of side </w:t>
      </w:r>
      <w:r>
        <w:rPr>
          <w:rFonts w:ascii="Times New Roman" w:eastAsia="SimSun"/>
          <w:i/>
          <w:iCs/>
          <w:color w:val="000000"/>
          <w:sz w:val="24"/>
          <w:szCs w:val="24"/>
        </w:rPr>
        <w:t xml:space="preserve">s</w:t>
      </w:r>
      <w:r>
        <w:rPr>
          <w:rFonts w:ascii="Times New Roman" w:eastAsia="SimSun"/>
          <w:color w:val="000000"/>
          <w:sz w:val="24"/>
          <w:szCs w:val="24"/>
        </w:rPr>
        <w:t xml:space="preserve"> in pawn units, </w:t>
      </w:r>
      <w:r>
        <w:rPr>
          <w:rFonts w:ascii="Times New Roman" w:eastAsia="SimSun"/>
          <w:i/>
          <w:iCs/>
          <w:color w:val="000000"/>
          <w:sz w:val="24"/>
          <w:szCs w:val="24"/>
        </w:rPr>
        <w:t xml:space="preserve">m(s)</w:t>
      </w:r>
      <w:r>
        <w:rPr>
          <w:rFonts w:ascii="Times New Roman" w:eastAsia="SimSun"/>
          <w:color w:val="000000"/>
          <w:sz w:val="24"/>
          <w:szCs w:val="24"/>
        </w:rPr>
        <w:t xml:space="preserve"> the number of legal moves of side </w:t>
      </w:r>
      <w:r>
        <w:rPr>
          <w:rFonts w:ascii="Times New Roman" w:eastAsia="SimSun"/>
          <w:i/>
          <w:iCs/>
          <w:color w:val="000000"/>
          <w:sz w:val="24"/>
          <w:szCs w:val="24"/>
        </w:rPr>
        <w:t xml:space="preserve">s</w:t>
      </w:r>
      <w:r>
        <w:rPr>
          <w:rFonts w:ascii="Times New Roman" w:eastAsia="SimSun"/>
          <w:color w:val="000000"/>
          <w:sz w:val="24"/>
          <w:szCs w:val="24"/>
        </w:rPr>
        <w:t xml:space="preserve">. The energy is </w:t>
      </w:r>
      <w:r>
        <w:rPr>
          <w:rFonts w:ascii="Times New Roman" w:eastAsia="SimSun"/>
          <w:i/>
          <w:iCs/>
          <w:color w:val="000000"/>
          <w:sz w:val="24"/>
          <w:szCs w:val="24"/>
        </w:rPr>
        <w:t xml:space="preserve">E = [M(∘) - M(•)] + μ [m(∘) - m(•)]</w:t>
      </w:r>
      <w:r>
        <w:rPr>
          <w:rFonts w:ascii="Times New Roman" w:eastAsia="SimSun"/>
          <w:color w:val="000000"/>
          <w:sz w:val="24"/>
          <w:szCs w:val="24"/>
        </w:rPr>
        <w:t xml:space="preserve"> with </w:t>
      </w:r>
      <w:r>
        <w:rPr>
          <w:rFonts w:ascii="Times New Roman" w:eastAsia="SimSun"/>
          <w:i/>
          <w:iCs/>
          <w:color w:val="000000"/>
          <w:sz w:val="24"/>
          <w:szCs w:val="24"/>
        </w:rPr>
        <w:t xml:space="preserve">μ = 0.1</w:t>
      </w:r>
      <w:r>
        <w:rPr>
          <w:rFonts w:ascii="Times New Roman" w:eastAsia="SimSun"/>
          <w:color w:val="000000"/>
          <w:sz w:val="24"/>
          <w:szCs w:val="24"/>
        </w:rPr>
        <w:t xml:space="preserve">. Then: (i) </w:t>
      </w:r>
      <w:r>
        <w:rPr>
          <w:rFonts w:ascii="Times New Roman" w:eastAsia="SimSun"/>
          <w:i/>
          <w:iCs/>
          <w:color w:val="000000"/>
          <w:sz w:val="24"/>
          <w:szCs w:val="24"/>
        </w:rPr>
        <w:t xml:space="preserve">E</w:t>
      </w:r>
      <w:r>
        <w:rPr>
          <w:rFonts w:ascii="Times New Roman" w:eastAsia="SimSun"/>
          <w:color w:val="000000"/>
          <w:sz w:val="24"/>
          <w:szCs w:val="24"/>
        </w:rPr>
        <w:t xml:space="preserve"> is exactly computable and deterministic; (ii) in the initial position </w:t>
      </w:r>
      <w:r>
        <w:rPr>
          <w:rFonts w:ascii="Times New Roman" w:eastAsia="SimSun"/>
          <w:i/>
          <w:iCs/>
          <w:color w:val="000000"/>
          <w:sz w:val="24"/>
          <w:szCs w:val="24"/>
        </w:rPr>
        <w:t xml:space="preserve">m(∘) = m(•) = 20</w:t>
      </w:r>
      <w:r>
        <w:rPr>
          <w:rFonts w:ascii="Times New Roman" w:eastAsia="SimSun"/>
          <w:color w:val="000000"/>
          <w:sz w:val="24"/>
          <w:szCs w:val="24"/>
        </w:rPr>
        <w:t xml:space="preserve">; (iii) after 1.e4 the White mobility equals 30; (iv) for any position with the standard material set of one side (queen, two rooks, two bishops, two knights, king) the mobility of that side does not exceed </w:t>
      </w:r>
      <w:r>
        <w:rPr>
          <w:rFonts w:ascii="Times New Roman" w:eastAsia="SimSun"/>
          <w:i/>
          <w:iCs/>
          <w:color w:val="000000"/>
          <w:sz w:val="24"/>
          <w:szCs w:val="24"/>
        </w:rPr>
        <w:t xml:space="preserve">27 + 14 + 14 + 13 + 13 + 8 + 8 + 8 = 105</w:t>
      </w:r>
      <w:r>
        <w:rPr>
          <w:rFonts w:ascii="Times New Roman" w:eastAsia="SimSun"/>
          <w:color w:val="000000"/>
          <w:sz w:val="24"/>
          <w:szCs w:val="24"/>
        </w:rPr>
        <w:t xml:space="preserve">.</w:t>
      </w:r>
    </w:p>
    <w:p>
      <w:pPr>
        <w:pStyle w:val="Heading1"/>
        <w:spacing w:after="160" w:before="360" w:line="312"/>
      </w:pPr>
      <w:bookmarkStart w:id="100002" w:name="_Toc100002"/>
      <w:r>
        <w:rPr>
          <w:rFonts w:ascii="Times New Roman" w:eastAsia="SimSun"/>
          <w:b/>
          <w:bCs/>
          <w:color w:val="000000"/>
          <w:sz w:val="30"/>
          <w:szCs w:val="30"/>
        </w:rPr>
        <w:t xml:space="preserve">Proof</w:t>
      </w:r>
      <w:bookmarkEnd w:id="100002"/>
    </w:p>
    <w:p>
      <w:pPr>
        <w:spacing w:after="80" w:line="312"/>
        <w:ind w:firstLine="480"/>
        <w:jc w:val="both"/>
      </w:pPr>
      <w:r>
        <w:rPr>
          <w:rFonts w:ascii="Times New Roman" w:eastAsia="SimSun"/>
          <w:color w:val="000000"/>
          <w:sz w:val="24"/>
          <w:szCs w:val="24"/>
        </w:rPr>
        <w:t xml:space="preserve">(i) Computability and determinism. The material </w:t>
      </w:r>
      <w:r>
        <w:rPr>
          <w:rFonts w:ascii="Times New Roman" w:eastAsia="SimSun"/>
          <w:i/>
          <w:iCs/>
          <w:color w:val="000000"/>
          <w:sz w:val="24"/>
          <w:szCs w:val="24"/>
        </w:rPr>
        <w:t xml:space="preserve">M(s)</w:t>
      </w:r>
      <w:r>
        <w:rPr>
          <w:rFonts w:ascii="Times New Roman" w:eastAsia="SimSun"/>
          <w:color w:val="000000"/>
          <w:sz w:val="24"/>
          <w:szCs w:val="24"/>
        </w:rPr>
        <w:t xml:space="preserve"> is a finite sum over the 64 squares of a fixed function of the square content; the mobility </w:t>
      </w:r>
      <w:r>
        <w:rPr>
          <w:rFonts w:ascii="Times New Roman" w:eastAsia="SimSun"/>
          <w:i/>
          <w:iCs/>
          <w:color w:val="000000"/>
          <w:sz w:val="24"/>
          <w:szCs w:val="24"/>
        </w:rPr>
        <w:t xml:space="preserve">m(s)</w:t>
      </w:r>
      <w:r>
        <w:rPr>
          <w:rFonts w:ascii="Times New Roman" w:eastAsia="SimSun"/>
          <w:color w:val="000000"/>
          <w:sz w:val="24"/>
          <w:szCs w:val="24"/>
        </w:rPr>
        <w:t xml:space="preserve"> is the cardinality of the finite set of legal moves produced by a deterministic generation procedure. Both quantities are independent of the traversal order and of any random parameters, so </w:t>
      </w:r>
      <w:r>
        <w:rPr>
          <w:rFonts w:ascii="Times New Roman" w:eastAsia="SimSun"/>
          <w:i/>
          <w:iCs/>
          <w:color w:val="000000"/>
          <w:sz w:val="24"/>
          <w:szCs w:val="24"/>
        </w:rPr>
        <w:t xml:space="preserve">E</w:t>
      </w:r>
      <w:r>
        <w:rPr>
          <w:rFonts w:ascii="Times New Roman" w:eastAsia="SimSun"/>
          <w:color w:val="000000"/>
          <w:sz w:val="24"/>
          <w:szCs w:val="24"/>
        </w:rPr>
        <w:t xml:space="preserve"> is a deterministic function of the position. The correctness of the move generation is certified by the perft identities of T08.</w:t>
      </w:r>
    </w:p>
    <w:p>
      <w:pPr>
        <w:spacing w:after="80" w:line="312"/>
        <w:ind w:firstLine="480"/>
        <w:jc w:val="both"/>
      </w:pPr>
      <w:r>
        <w:rPr>
          <w:rFonts w:ascii="Times New Roman" w:eastAsia="SimSun"/>
          <w:color w:val="000000"/>
          <w:sz w:val="24"/>
          <w:szCs w:val="24"/>
        </w:rPr>
        <w:t xml:space="preserve">(ii) The initial mobility. The eight pawns of the second rank have two moves each (one and two squares forward) — 16 moves; both knights (b1 and g1) have two moves each (a3, c3 and f3, h3) — 4 more; the bishops, rooks, queen and king are blocked by the own pawns. Altogether exactly </w:t>
      </w:r>
      <w:r>
        <w:rPr>
          <w:rFonts w:ascii="Times New Roman" w:eastAsia="SimSun"/>
          <w:i/>
          <w:iCs/>
          <w:color w:val="000000"/>
          <w:sz w:val="24"/>
          <w:szCs w:val="24"/>
        </w:rPr>
        <w:t xml:space="preserve">16 + 4 = 20</w:t>
      </w:r>
      <w:r>
        <w:rPr>
          <w:rFonts w:ascii="Times New Roman" w:eastAsia="SimSun"/>
          <w:color w:val="000000"/>
          <w:sz w:val="24"/>
          <w:szCs w:val="24"/>
        </w:rPr>
        <w:t xml:space="preserve"> legal moves, which matches perft(1) of Theorem T08. By symmetry </w:t>
      </w:r>
      <w:r>
        <w:rPr>
          <w:rFonts w:ascii="Times New Roman" w:eastAsia="SimSun"/>
          <w:i/>
          <w:iCs/>
          <w:color w:val="000000"/>
          <w:sz w:val="24"/>
          <w:szCs w:val="24"/>
        </w:rPr>
        <w:t xml:space="preserve">m(•) = 20</w:t>
      </w:r>
      <w:r>
        <w:rPr>
          <w:rFonts w:ascii="Times New Roman" w:eastAsia="SimSun"/>
          <w:color w:val="000000"/>
          <w:sz w:val="24"/>
          <w:szCs w:val="24"/>
        </w:rPr>
        <w:t xml:space="preserve">.</w:t>
      </w:r>
    </w:p>
    <w:p>
      <w:pPr>
        <w:spacing w:after="80" w:line="312"/>
        <w:ind w:firstLine="480"/>
        <w:jc w:val="both"/>
      </w:pPr>
      <w:r>
        <w:rPr>
          <w:rFonts w:ascii="Times New Roman" w:eastAsia="SimSun"/>
          <w:color w:val="000000"/>
          <w:sz w:val="24"/>
          <w:szCs w:val="24"/>
        </w:rPr>
        <w:t xml:space="preserve">(iii) After 1.e4. The e2 pawn advanced to e4 and still has two moves; the seven other pawns give 14; the f1 bishop diagonal opened (five squares: e2, d3, c4, b5, a6), the d1 queen diagonal opened (four squares: e2, f3, g4, h5) and the square e2 became available to the g1 knight (a third move beyond f3 and h3). In total: pawns </w:t>
      </w:r>
      <w:r>
        <w:rPr>
          <w:rFonts w:ascii="Times New Roman" w:eastAsia="SimSun"/>
          <w:i/>
          <w:iCs/>
          <w:color w:val="000000"/>
          <w:sz w:val="24"/>
          <w:szCs w:val="24"/>
        </w:rPr>
        <w:t xml:space="preserve">7 · 2 + 2 = 16</w:t>
      </w:r>
      <w:r>
        <w:rPr>
          <w:rFonts w:ascii="Times New Roman" w:eastAsia="SimSun"/>
          <w:color w:val="000000"/>
          <w:sz w:val="24"/>
          <w:szCs w:val="24"/>
        </w:rPr>
        <w:t xml:space="preserve">, knights </w:t>
      </w:r>
      <w:r>
        <w:rPr>
          <w:rFonts w:ascii="Times New Roman" w:eastAsia="SimSun"/>
          <w:i/>
          <w:iCs/>
          <w:color w:val="000000"/>
          <w:sz w:val="24"/>
          <w:szCs w:val="24"/>
        </w:rPr>
        <w:t xml:space="preserve">2 + 3 = 5</w:t>
      </w:r>
      <w:r>
        <w:rPr>
          <w:rFonts w:ascii="Times New Roman" w:eastAsia="SimSun"/>
          <w:color w:val="000000"/>
          <w:sz w:val="24"/>
          <w:szCs w:val="24"/>
        </w:rPr>
        <w:t xml:space="preserve">, the f1 bishop 5, the queen 4; the sum is </w:t>
      </w:r>
      <w:r>
        <w:rPr>
          <w:rFonts w:ascii="Times New Roman" w:eastAsia="SimSun"/>
          <w:i/>
          <w:iCs/>
          <w:color w:val="000000"/>
          <w:sz w:val="24"/>
          <w:szCs w:val="24"/>
        </w:rPr>
        <w:t xml:space="preserve">16 + 5 + 5 + 4 = 30</w:t>
      </w:r>
      <w:r>
        <w:rPr>
          <w:rFonts w:ascii="Times New Roman" w:eastAsia="SimSun"/>
          <w:color w:val="000000"/>
          <w:sz w:val="24"/>
          <w:szCs w:val="24"/>
        </w:rPr>
        <w:t xml:space="preserve">. Note that the count follows the blocking rule and every listed square is indeed free after 1.e4.</w:t>
      </w:r>
    </w:p>
    <w:p>
      <w:pPr>
        <w:spacing w:after="80" w:line="312"/>
        <w:ind w:firstLine="480"/>
        <w:jc w:val="both"/>
      </w:pPr>
      <w:r>
        <w:rPr>
          <w:rFonts w:ascii="Times New Roman" w:eastAsia="SimSun"/>
          <w:color w:val="000000"/>
          <w:sz w:val="24"/>
          <w:szCs w:val="24"/>
        </w:rPr>
        <w:t xml:space="preserve">(iv) The upper bound. The mobility of a side does not exceed the sum of the maximal mobilities of its particles: every move is made by exactly one particle, and the number of moves of a particle does not exceed its empty-board mobility (blocking can only reduce the number of reachable squares). By T03 the maxima are: queen 27, rook 14, bishop 13, knight 8, king 8. For the standard set (queen, two rooks, two bishops, two knights, king) this gives </w:t>
      </w:r>
      <w:r>
        <w:rPr>
          <w:rFonts w:ascii="Times New Roman" w:eastAsia="SimSun"/>
          <w:i/>
          <w:iCs/>
          <w:color w:val="000000"/>
          <w:sz w:val="24"/>
          <w:szCs w:val="24"/>
        </w:rPr>
        <w:t xml:space="preserve">27 + 2 · 14 + 2 · 13 + 2 · 8 + 8 = 105</w:t>
      </w:r>
      <w:r>
        <w:rPr>
          <w:rFonts w:ascii="Times New Roman" w:eastAsia="SimSun"/>
          <w:color w:val="000000"/>
          <w:sz w:val="24"/>
          <w:szCs w:val="24"/>
        </w:rPr>
        <w:t xml:space="preserve">. We note that with promoted material the actual record of mobility in a legal position reaches 218 moves — this constant enters the protocol data as the "maximal kinetic energy" reference of the eight-queen construction. The theorem is proved.</w:t>
      </w:r>
    </w:p>
    <w:p>
      <w:pPr>
        <w:pStyle w:val="Heading1"/>
        <w:spacing w:after="160" w:before="360" w:line="312"/>
      </w:pPr>
      <w:bookmarkStart w:id="100003" w:name="_Toc100003"/>
      <w:r>
        <w:rPr>
          <w:rFonts w:ascii="Times New Roman" w:eastAsia="SimSun"/>
          <w:b/>
          <w:bCs/>
          <w:color w:val="000000"/>
          <w:sz w:val="30"/>
          <w:szCs w:val="30"/>
        </w:rPr>
        <w:t xml:space="preserve">Protocol data</w:t>
      </w:r>
      <w:bookmarkEnd w:id="100003"/>
    </w:p>
    <w:p>
      <w:pPr>
        <w:keepNext/>
        <w:spacing w:after="60" w:before="160" w:line="312"/>
      </w:pPr>
      <w:r>
        <w:rPr>
          <w:rFonts w:ascii="Times New Roman" w:eastAsia="SimSun"/>
          <w:b/>
          <w:bCs/>
          <w:color w:val="000000"/>
          <w:sz w:val="21"/>
          <w:szCs w:val="21"/>
        </w:rPr>
        <w:t xml:space="preserve">Energy certificates (check C7)</w:t>
      </w:r>
    </w:p>
    <w:tbl>
      <w:tblPr>
        <w:tblW w:type="pct" w:w="100%"/>
        <w:tblBorders>
          <w:top w:val="single" w:color="555555" w:sz="6"/>
          <w:left w:val="none" w:color="FFFFFF" w:sz="0"/>
          <w:bottom w:val="single" w:color="555555" w:sz="6"/>
          <w:right w:val="none" w:color="FFFFFF" w:sz="0"/>
          <w:insideH w:val="single" w:color="CCCCCC" w:sz="2"/>
          <w:insideV w:val="none" w:color="FFFFFF" w:sz="0"/>
        </w:tblBorders>
        <w:tblLayout w:type="fixed"/>
      </w:tblPr>
      <w:tblGrid>
        <w:gridCol w:w="100"/>
        <w:gridCol w:w="100"/>
      </w:tblGrid>
      <w:tr>
        <w:trPr>
          <w:cantSplit/>
          <w:tblHeader/>
        </w:trPr>
        <w:tc>
          <w:tcPr>
            <w:tcW w:type="pct" w:w="60.05443161752912%"/>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Quantity</w:t>
            </w:r>
          </w:p>
        </w:tc>
        <w:tc>
          <w:tcPr>
            <w:tcW w:type="pct" w:w="33.94556838247088%"/>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Value</w:t>
            </w:r>
          </w:p>
        </w:tc>
      </w:tr>
      <w:tr>
        <w:trPr>
          <w:cantSplit/>
        </w:trPr>
        <w:tc>
          <w:tcPr>
            <w:tcW w:type="pct" w:w="60.05443161752912%"/>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White mobility, initial position</w:t>
            </w:r>
          </w:p>
        </w:tc>
        <w:tc>
          <w:tcPr>
            <w:tcW w:type="pct" w:w="33.94556838247088%"/>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20</w:t>
            </w:r>
          </w:p>
        </w:tc>
      </w:tr>
      <w:tr>
        <w:trPr>
          <w:cantSplit/>
        </w:trPr>
        <w:tc>
          <w:tcPr>
            <w:tcW w:type="pct" w:w="60.05443161752912%"/>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White mobility after 1.e4</w:t>
            </w:r>
          </w:p>
        </w:tc>
        <w:tc>
          <w:tcPr>
            <w:tcW w:type="pct" w:w="33.94556838247088%"/>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30</w:t>
            </w:r>
          </w:p>
        </w:tc>
      </w:tr>
      <w:tr>
        <w:trPr>
          <w:cantSplit/>
        </w:trPr>
        <w:tc>
          <w:tcPr>
            <w:tcW w:type="pct" w:w="60.05443161752912%"/>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Energy determinism</w:t>
            </w:r>
          </w:p>
        </w:tc>
        <w:tc>
          <w:tcPr>
            <w:tcW w:type="pct" w:w="33.94556838247088%"/>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confirmed (double run)</w:t>
            </w:r>
          </w:p>
        </w:tc>
      </w:tr>
      <w:tr>
        <w:trPr>
          <w:cantSplit/>
        </w:trPr>
        <w:tc>
          <w:tcPr>
            <w:tcW w:type="pct" w:w="60.05443161752912%"/>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Zobrist hash stability</w:t>
            </w:r>
          </w:p>
        </w:tc>
        <w:tc>
          <w:tcPr>
            <w:tcW w:type="pct" w:w="33.94556838247088%"/>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confirmed</w:t>
            </w:r>
          </w:p>
        </w:tc>
      </w:tr>
      <w:tr>
        <w:trPr>
          <w:cantSplit/>
        </w:trPr>
        <w:tc>
          <w:tcPr>
            <w:tcW w:type="pct" w:w="60.05443161752912%"/>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splitmix64 invertibility</w:t>
            </w:r>
          </w:p>
        </w:tc>
        <w:tc>
          <w:tcPr>
            <w:tcW w:type="pct" w:w="33.94556838247088%"/>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confirmed (2000 values)</w:t>
            </w:r>
          </w:p>
        </w:tc>
      </w:tr>
      <w:tr>
        <w:trPr>
          <w:cantSplit/>
        </w:trPr>
        <w:tc>
          <w:tcPr>
            <w:tcW w:type="pct" w:w="60.05443161752912%"/>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Mobility upper bound (standard set)</w:t>
            </w:r>
          </w:p>
        </w:tc>
        <w:tc>
          <w:tcPr>
            <w:tcW w:type="pct" w:w="33.94556838247088%"/>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105</w:t>
            </w:r>
          </w:p>
        </w:tc>
      </w:tr>
      <w:tr>
        <w:trPr>
          <w:cantSplit/>
        </w:trPr>
        <w:tc>
          <w:tcPr>
            <w:tcW w:type="pct" w:w="60.05443161752912%"/>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Maximal mobility reference (218 construction)</w:t>
            </w:r>
          </w:p>
        </w:tc>
        <w:tc>
          <w:tcPr>
            <w:tcW w:type="pct" w:w="33.94556838247088%"/>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218</w:t>
            </w:r>
          </w:p>
        </w:tc>
      </w:tr>
    </w:tbl>
    <w:p>
      <w:pPr>
        <w:spacing w:after="120"/>
      </w:pPr>
    </w:p>
    <w:p>
      <w:pPr>
        <w:pStyle w:val="Heading1"/>
        <w:spacing w:after="160" w:before="360" w:line="312"/>
      </w:pPr>
      <w:bookmarkStart w:id="100004" w:name="_Toc100004"/>
      <w:r>
        <w:rPr>
          <w:rFonts w:ascii="Times New Roman" w:eastAsia="SimSun"/>
          <w:b/>
          <w:bCs/>
          <w:color w:val="000000"/>
          <w:sz w:val="30"/>
          <w:szCs w:val="30"/>
        </w:rPr>
        <w:t xml:space="preserve">Summary of what is proved</w:t>
      </w:r>
      <w:bookmarkEnd w:id="100004"/>
    </w:p>
    <w:p>
      <w:pPr>
        <w:spacing w:after="80" w:line="312"/>
        <w:ind w:firstLine="480"/>
        <w:jc w:val="both"/>
      </w:pPr>
      <w:r>
        <w:rPr>
          <w:rFonts w:ascii="Times New Roman" w:eastAsia="SimSun"/>
          <w:color w:val="000000"/>
          <w:sz w:val="24"/>
          <w:szCs w:val="24"/>
        </w:rPr>
        <w:t xml:space="preserve">We introduced and justified the Lagrangian energy of a position: computability and determinism are proved, the initial certificates 20 and 30 are computed with the full enumeration of the contributing moves, the upper bound 105 for the standard material set is established, and the 218 reference of the queen construction is fixed. The mechanism is direct combinatorial counting with the blocking rule; all values enter protocol C7 and the baseline.</w:t>
      </w:r>
    </w:p>
    <w:p>
      <w:pPr>
        <w:pStyle w:val="Heading1"/>
        <w:spacing w:after="160" w:before="360" w:line="312"/>
      </w:pPr>
      <w:bookmarkStart w:id="100005" w:name="_Toc100005"/>
      <w:r>
        <w:rPr>
          <w:rFonts w:ascii="Times New Roman" w:eastAsia="SimSun"/>
          <w:b/>
          <w:bCs/>
          <w:color w:val="000000"/>
          <w:sz w:val="30"/>
          <w:szCs w:val="30"/>
        </w:rPr>
        <w:t xml:space="preserve">Verification</w:t>
      </w:r>
      <w:bookmarkEnd w:id="100005"/>
    </w:p>
    <w:p>
      <w:pPr>
        <w:spacing w:after="80" w:line="312"/>
        <w:ind w:firstLine="480"/>
        <w:jc w:val="both"/>
      </w:pPr>
      <w:r>
        <w:rPr>
          <w:rFonts w:ascii="Times New Roman" w:eastAsia="SimSun"/>
          <w:color w:val="000000"/>
          <w:sz w:val="24"/>
          <w:szCs w:val="24"/>
        </w:rPr>
        <w:t xml:space="preserve">Check: python3 dynamics.py --run C7 or the C7 line of the polyglot core. The determinism is verified by a double energy evaluation and a comparison of the Zobrist hashes; the mobilities 20 and 30 are compared with the move generation; PASS in all seven implementations.</w:t>
      </w:r>
    </w:p>
    <w:p>
      <w:pPr>
        <w:pBdr>
          <w:top w:val="single" w:color="999999" w:sz="6" w:space="6"/>
        </w:pBdr>
        <w:spacing w:before="240"/>
      </w:pPr>
      <w:r>
        <w:rPr>
          <w:rFonts w:ascii="Times New Roman" w:eastAsia="SimSun"/>
          <w:color w:val="606060"/>
          <w:sz w:val="18"/>
          <w:szCs w:val="18"/>
        </w:rPr>
        <w:t xml:space="preserve">© 2026 chess-dynamics-lab · Individual exclusive license</w:t>
      </w:r>
    </w:p>
    <w:sectPr>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60606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60606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Sun"/>
      <w:b/>
      <w:bCs/>
      <w:color w:val="000000"/>
      <w:sz w:val="30"/>
      <w:szCs w:val="30"/>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T05 — The Position Lagrangian: the Particle Energy and Its Certificates</dc:title>
  <dc:creator>Isaev Iskhak Khamzatovich</dc:creator>
  <dc:description>Theorem monograph T05 of the chess-dynamics-lab program — the TORUS layer</dc:description>
  <cp:lastModifiedBy>Un-named</cp:lastModifiedBy>
  <cp:revision>1</cp:revision>
  <dcterms:created xsi:type="dcterms:W3CDTF">2026-09-29T21:58:05.227Z</dcterms:created>
  <dcterms:modified xsi:type="dcterms:W3CDTF">2026-09-29T21:58:05.227Z</dcterms:modified>
</cp:coreProperties>
</file>

<file path=docProps/custom.xml><?xml version="1.0" encoding="utf-8"?>
<Properties xmlns="http://schemas.openxmlformats.org/officeDocument/2006/custom-properties" xmlns:vt="http://schemas.openxmlformats.org/officeDocument/2006/docPropsVTypes"/>
</file>