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3196"/>
            </w:pPr>
          </w:p>
          <w:p>
            <w:pPr>
              <w:spacing w:after="400" w:line="414" w:lineRule="atLeast"/>
              <w:jc w:val="center"/>
            </w:pPr>
            <w:r>
              <w:rPr>
                <w:rFonts w:ascii="Times New Roman" w:eastAsia="SimSun"/>
                <w:color w:val="162032"/>
                <w:spacing w:val="60"/>
                <w:sz w:val="36"/>
                <w:szCs w:val="36"/>
              </w:rPr>
              <w:t xml:space="preserve">CHESS-DYNAMICS-LAB</w:t>
            </w:r>
          </w:p>
          <w:p>
            <w:pPr>
              <w:spacing w:after="120" w:line="690" w:lineRule="atLeast"/>
              <w:jc w:val="center"/>
            </w:pPr>
            <w:r>
              <w:rPr>
                <w:rFonts w:ascii="Times New Roman" w:eastAsia="SimSun"/>
                <w:b/>
                <w:bCs/>
                <w:color w:val="000000"/>
                <w:sz w:val="60"/>
                <w:szCs w:val="60"/>
              </w:rPr>
              <w:t xml:space="preserve">The Perft Identities: the</w:t>
            </w:r>
          </w:p>
          <w:p>
            <w:pPr>
              <w:spacing w:after="120" w:line="690" w:lineRule="atLeast"/>
              <w:jc w:val="center"/>
            </w:pPr>
            <w:r>
              <w:rPr>
                <w:rFonts w:ascii="Times New Roman" w:eastAsia="SimSun"/>
                <w:b/>
                <w:bCs/>
                <w:color w:val="000000"/>
                <w:sz w:val="60"/>
                <w:szCs w:val="60"/>
              </w:rPr>
              <w:t xml:space="preserve">Correctness Certificate</w:t>
            </w:r>
          </w:p>
          <w:p>
            <w:pPr>
              <w:spacing w:after="300" w:line="690" w:lineRule="atLeast"/>
              <w:jc w:val="center"/>
            </w:pPr>
            <w:r>
              <w:rPr>
                <w:rFonts w:ascii="Times New Roman" w:eastAsia="SimSun"/>
                <w:b/>
                <w:bCs/>
                <w:color w:val="000000"/>
                <w:sz w:val="60"/>
                <w:szCs w:val="60"/>
              </w:rPr>
              <w:t xml:space="preserve">of the Move Generator</w:t>
            </w:r>
          </w:p>
          <w:p>
            <w:pPr>
              <w:spacing w:after="200" w:line="299" w:lineRule="atLeast"/>
              <w:jc w:val="center"/>
            </w:pPr>
            <w:r>
              <w:rPr>
                <w:rFonts w:ascii="Times New Roman" w:eastAsia="SimSun"/>
                <w:color w:val="404040"/>
                <w:sz w:val="26"/>
                <w:szCs w:val="26"/>
              </w:rPr>
              <w:t xml:space="preserve">Theorem monograph T08 of the chess-dynamics-lab program</w:t>
            </w:r>
          </w:p>
          <w:p>
            <w:pPr>
              <w:spacing w:before="1067"/>
            </w:pPr>
          </w:p>
          <w:tbl>
            <w:tblPr>
              <w:tblW w:type="pct" w:w="55%"/>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Author: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Isaev Iskhak Khamzatovich</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Series:</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Theorem monograph T08</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Program:</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chess-dynamics-lab</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Layer:</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Theorem monograph T08 of the chess-dynamics-lab program</w:t>
                  </w:r>
                </w:p>
              </w:tc>
            </w:tr>
            <w:tr>
              <w:trPr>
                <w:cantSplit/>
              </w:trPr>
              <w:tc>
                <w:tcPr>
                  <w:tcW w:type="pct" w:w="25%"/>
                  <w:tcBorders>
                    <w:top w:val="none" w:color="FFFFFF" w:sz="0"/>
                    <w:left w:val="none" w:color="FFFFFF" w:sz="0"/>
                    <w:bottom w:val="none" w:color="FFFFFF" w:sz="0"/>
                    <w:right w:val="none" w:color="FFFFFF" w:sz="0"/>
                  </w:tcBorders>
                  <w:tcMar>
                    <w:left w:type="dxa" w:w="0"/>
                    <w:right w:type="dxa" w:w="0"/>
                  </w:tcMar>
                </w:tcPr>
                <w:p>
                  <w:pPr>
                    <w:spacing w:after="60" w:before="60" w:line="400"/>
                    <w:jc w:val="left"/>
                  </w:pPr>
                  <w:r>
                    <w:rPr>
                      <w:rFonts w:ascii="Times New Roman" w:eastAsia="SimSun"/>
                      <w:sz w:val="24"/>
                      <w:szCs w:val="24"/>
                    </w:rPr>
                    <w:t xml:space="preserve">License:</w:t>
                  </w:r>
                </w:p>
              </w:tc>
              <w:tc>
                <w:tcPr>
                  <w:tcW w:type="pct" w:w="75%"/>
                  <w:tcBorders>
                    <w:top w:val="none" w:color="FFFFFF" w:sz="0"/>
                    <w:left w:val="none" w:color="FFFFFF" w:sz="0"/>
                    <w:bottom w:val="single" w:color="000000" w:sz="4"/>
                    <w:right w:val="none" w:color="FFFFFF" w:sz="0"/>
                  </w:tcBorders>
                  <w:tcMar>
                    <w:left w:type="dxa" w:w="80"/>
                    <w:right w:type="dxa" w:w="0"/>
                  </w:tcMar>
                </w:tcPr>
                <w:p>
                  <w:pPr>
                    <w:spacing w:after="60" w:before="60" w:line="400"/>
                    <w:jc w:val="left"/>
                  </w:pPr>
                  <w:r>
                    <w:rPr>
                      <w:rFonts w:ascii="Times New Roman" w:eastAsia="SimSun"/>
                      <w:sz w:val="24"/>
                      <w:szCs w:val="24"/>
                    </w:rPr>
                    <w:t xml:space="preserve">Individual exclusive</w:t>
                  </w:r>
                </w:p>
              </w:tc>
            </w:tr>
          </w:tbl>
          <w:p>
            <w:pPr>
              <w:spacing w:before="4066"/>
            </w:pPr>
          </w:p>
          <w:p>
            <w:pPr>
              <w:jc w:val="center"/>
            </w:pPr>
            <w:r>
              <w:rPr>
                <w:rFonts w:ascii="Times New Roman" w:eastAsia="SimSun"/>
                <w:color w:val="404040"/>
                <w:sz w:val="20"/>
                <w:szCs w:val="20"/>
              </w:rPr>
              <w:t xml:space="preserve">© 2026 chess-dynamics-lab · Individual exclusive license</w:t>
            </w:r>
          </w:p>
        </w:tc>
      </w:tr>
    </w:tbl>
    <w:p>
      <w:pPr>
        <w:sectPr>
          <w:pgSz w:w="11906" w:h="16838" w:orient="portrait"/>
          <w:pgMar w:top="0" w:right="0" w:bottom="0" w:left="0" w:header="708" w:footer="708" w:gutter="0"/>
          <w:docGrid w:linePitch="360"/>
        </w:sectPr>
      </w:pPr>
    </w:p>
    <w:p>
      <w:pPr>
        <w:spacing w:after="360" w:before="480"/>
        <w:jc w:val="center"/>
      </w:pPr>
      <w:r>
        <w:rPr>
          <w:rFonts w:ascii="Times New Roman" w:eastAsia="SimSun"/>
          <w:b/>
          <w:bCs/>
          <w:sz w:val="32"/>
          <w:szCs w:val="32"/>
        </w:rPr>
        <w:t xml:space="preserve">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Setting</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Theorem</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Proof</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Protocol data</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Summary of what is proved</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Verification</w:t>
            </w:r>
            <w:r>
              <w:tab/>
            </w:r>
            <w:r>
              <w:fldChar w:fldCharType="begin"/>
            </w:r>
            <w:r>
              <w:instrText xml:space="preserve"> PAGEREF _Toc100005 \h </w:instrText>
            </w:r>
            <w:r>
              <w:fldChar w:fldCharType="separate"/>
            </w:r>
            <w:r>
              <w:t>4</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spacing w:after="240"/>
        <w:jc w:val="center"/>
      </w:pPr>
      <w:r>
        <w:rPr>
          <w:rFonts w:ascii="Times New Roman" w:eastAsia="SimSun"/>
          <w:b/>
          <w:bCs/>
          <w:color w:val="8B7E5A"/>
          <w:sz w:val="20"/>
          <w:szCs w:val="20"/>
        </w:rPr>
        <w:t xml:space="preserve">THEOREM MONOGRAPH T08 · CHESS-DYNAMICS-LAB</w:t>
      </w:r>
    </w:p>
    <w:p>
      <w:pPr>
        <w:spacing w:after="160" w:line="391" w:lineRule="atLeast"/>
        <w:jc w:val="center"/>
      </w:pPr>
      <w:r>
        <w:rPr>
          <w:rFonts w:ascii="Times New Roman" w:eastAsia="SimSun"/>
          <w:b/>
          <w:bCs/>
          <w:color w:val="000000"/>
          <w:sz w:val="34"/>
          <w:szCs w:val="34"/>
        </w:rPr>
        <w:t xml:space="preserve">The Perft Identities: the Correctness Certificate of the Move Generator</w:t>
      </w:r>
    </w:p>
    <w:p>
      <w:pPr>
        <w:spacing w:after="120"/>
        <w:jc w:val="center"/>
      </w:pPr>
      <w:r>
        <w:rPr>
          <w:rFonts w:ascii="Times New Roman" w:eastAsia="SimSun"/>
          <w:color w:val="404040"/>
          <w:sz w:val="24"/>
          <w:szCs w:val="24"/>
        </w:rPr>
        <w:t xml:space="preserve">Theorem monograph T08 of the chess-dynamics-lab program</w:t>
      </w:r>
    </w:p>
    <w:p>
      <w:pPr>
        <w:spacing w:after="40"/>
        <w:jc w:val="center"/>
      </w:pPr>
      <w:r>
        <w:rPr>
          <w:rFonts w:ascii="Times New Roman" w:eastAsia="SimSun"/>
          <w:color w:val="000000"/>
          <w:sz w:val="22"/>
          <w:szCs w:val="22"/>
        </w:rPr>
        <w:t xml:space="preserve">Isaev Iskhak Khamzatovich</w:t>
      </w:r>
    </w:p>
    <w:p>
      <w:pPr>
        <w:spacing w:after="60"/>
        <w:jc w:val="center"/>
      </w:pPr>
      <w:r>
        <w:rPr>
          <w:rFonts w:ascii="Times New Roman" w:eastAsia="SimSun"/>
          <w:color w:val="606060"/>
          <w:sz w:val="18"/>
          <w:szCs w:val="18"/>
        </w:rPr>
        <w:t xml:space="preserve">Keywords: perft, move generation, verification, divide</w:t>
      </w:r>
    </w:p>
    <w:p>
      <w:pPr>
        <w:pBdr>
          <w:bottom w:val="single" w:color="8B7E5A" w:sz="8" w:space="4"/>
        </w:pBdr>
        <w:spacing w:after="240"/>
      </w:pPr>
    </w:p>
    <w:p>
      <w:pPr>
        <w:pStyle w:val="Heading1"/>
        <w:spacing w:after="160" w:before="360" w:line="312"/>
      </w:pPr>
      <w:bookmarkStart w:id="100000" w:name="_Toc100000"/>
      <w:r>
        <w:rPr>
          <w:rFonts w:ascii="Times New Roman" w:eastAsia="SimSun"/>
          <w:b/>
          <w:bCs/>
          <w:color w:val="000000"/>
          <w:sz w:val="30"/>
          <w:szCs w:val="30"/>
        </w:rPr>
        <w:t xml:space="preserve">Setting</w:t>
      </w:r>
      <w:bookmarkEnd w:id="100000"/>
    </w:p>
    <w:p>
      <w:pPr>
        <w:spacing w:after="80" w:line="312"/>
        <w:ind w:firstLine="480"/>
        <w:jc w:val="both"/>
      </w:pPr>
      <w:r>
        <w:rPr>
          <w:rFonts w:ascii="Times New Roman" w:eastAsia="SimSun"/>
          <w:color w:val="000000"/>
          <w:sz w:val="24"/>
          <w:szCs w:val="24"/>
        </w:rPr>
        <w:t xml:space="preserve">Perft is the full-enumeration function: perft(d) equals the number of leaves of the legal-move tree of depth </w:t>
      </w:r>
      <w:r>
        <w:rPr>
          <w:rFonts w:ascii="Times New Roman" w:eastAsia="SimSun"/>
          <w:i/>
          <w:iCs/>
          <w:color w:val="000000"/>
          <w:sz w:val="24"/>
          <w:szCs w:val="24"/>
        </w:rPr>
        <w:t xml:space="preserve">d</w:t>
      </w:r>
      <w:r>
        <w:rPr>
          <w:rFonts w:ascii="Times New Roman" w:eastAsia="SimSun"/>
          <w:color w:val="000000"/>
          <w:sz w:val="24"/>
          <w:szCs w:val="24"/>
        </w:rPr>
        <w:t xml:space="preserve"> from a given position. It is the standard testing tool of chess engines: any error in move generation (castling, en passant, promotion, check, blocking) instantly distorts the enumeration. The perft values from the initial position are world-known reference constants, independently reproduced by hundreds of independent implementations.</w:t>
      </w:r>
    </w:p>
    <w:p>
      <w:pPr>
        <w:spacing w:after="80" w:line="312"/>
        <w:ind w:firstLine="480"/>
        <w:jc w:val="both"/>
      </w:pPr>
      <w:r>
        <w:rPr>
          <w:rFonts w:ascii="Times New Roman" w:eastAsia="SimSun"/>
          <w:color w:val="000000"/>
          <w:sz w:val="24"/>
          <w:szCs w:val="24"/>
        </w:rPr>
        <w:t xml:space="preserve">The task of this monograph is to fix the perft identities of the program, to prove their status as a correctness certificate, and to present the divide table — the split of perft(3) by moves, which localizes any error. The identities are verified in the laboratory (protocol C5) and in the polyglot core, and the deep mode of the laboratory reproduces perft(5).</w:t>
      </w:r>
    </w:p>
    <w:p>
      <w:pPr>
        <w:pStyle w:val="Heading1"/>
        <w:spacing w:after="160" w:before="360" w:line="312"/>
      </w:pPr>
      <w:bookmarkStart w:id="100001" w:name="_Toc100001"/>
      <w:r>
        <w:rPr>
          <w:rFonts w:ascii="Times New Roman" w:eastAsia="SimSun"/>
          <w:b/>
          <w:bCs/>
          <w:color w:val="000000"/>
          <w:sz w:val="30"/>
          <w:szCs w:val="30"/>
        </w:rPr>
        <w:t xml:space="preserve">Theorem</w:t>
      </w:r>
      <w:bookmarkEnd w:id="100001"/>
    </w:p>
    <w:p>
      <w:pPr>
        <w:pBdr>
          <w:left w:val="single" w:color="8B7E5A" w:sz="24" w:space="8"/>
        </w:pBdr>
        <w:shd w:fill="F6F4EF" w:val="clear"/>
        <w:spacing w:after="120" w:before="120" w:line="312"/>
        <w:ind w:left="240" w:right="120"/>
        <w:jc w:val="both"/>
      </w:pPr>
      <w:r>
        <w:rPr>
          <w:rFonts w:ascii="Times New Roman" w:eastAsia="SimSun"/>
          <w:b/>
          <w:bCs/>
          <w:color w:val="000000"/>
          <w:sz w:val="24"/>
          <w:szCs w:val="24"/>
        </w:rPr>
        <w:t xml:space="preserve">Theorem T08 (the perft identities).</w:t>
      </w:r>
      <w:r>
        <w:rPr>
          <w:sz w:val="24"/>
          <w:szCs w:val="24"/>
        </w:rPr>
        <w:t xml:space="preserve"> </w:t>
      </w:r>
      <w:r>
        <w:rPr>
          <w:rFonts w:ascii="Times New Roman" w:eastAsia="SimSun"/>
          <w:color w:val="000000"/>
          <w:sz w:val="24"/>
          <w:szCs w:val="24"/>
        </w:rPr>
        <w:t xml:space="preserve">From the initial position: perft(1) = 20, perft(2) = 400, perft(3) = 8902, perft(4) = 197281, perft(5) = 4865609. The divide(3) split over the 20 initial moves matches the reference table (the largest contribution 600 comes from 1.e4, the smallest 380 from the flank pawn moves and the edge knights). Any correct move generator must reproduce all the listed values.</w:t>
      </w:r>
    </w:p>
    <w:p>
      <w:pPr>
        <w:pStyle w:val="Heading1"/>
        <w:spacing w:after="160" w:before="360" w:line="312"/>
      </w:pPr>
      <w:bookmarkStart w:id="100002" w:name="_Toc100002"/>
      <w:r>
        <w:rPr>
          <w:rFonts w:ascii="Times New Roman" w:eastAsia="SimSun"/>
          <w:b/>
          <w:bCs/>
          <w:color w:val="000000"/>
          <w:sz w:val="30"/>
          <w:szCs w:val="30"/>
        </w:rPr>
        <w:t xml:space="preserve">Proof</w:t>
      </w:r>
      <w:bookmarkEnd w:id="100002"/>
    </w:p>
    <w:p>
      <w:pPr>
        <w:spacing w:after="80" w:line="312"/>
        <w:ind w:firstLine="480"/>
        <w:jc w:val="both"/>
      </w:pPr>
      <w:r>
        <w:rPr>
          <w:rFonts w:ascii="Times New Roman" w:eastAsia="SimSun"/>
          <w:color w:val="000000"/>
          <w:sz w:val="24"/>
          <w:szCs w:val="24"/>
        </w:rPr>
        <w:t xml:space="preserve">The certificate status. Perft is defined recursively: perft(0) = 1, perft(d) = the sum of perft(d-1) over all legal moves. The definition is implementation-independent: two generators computing the same set of legal moves at every vertex of the tree produce bit-identical values. Consequently, the agreement of the perft values with the reference is equivalent to the agreement of the sets of legal moves on all paths of depth </w:t>
      </w:r>
      <w:r>
        <w:rPr>
          <w:rFonts w:ascii="Times New Roman" w:eastAsia="SimSun"/>
          <w:i/>
          <w:iCs/>
          <w:color w:val="000000"/>
          <w:sz w:val="24"/>
          <w:szCs w:val="24"/>
        </w:rPr>
        <w:t xml:space="preserve">d</w:t>
      </w:r>
      <w:r>
        <w:rPr>
          <w:rFonts w:ascii="Times New Roman" w:eastAsia="SimSun"/>
          <w:color w:val="000000"/>
          <w:sz w:val="24"/>
          <w:szCs w:val="24"/>
        </w:rPr>
        <w:t xml:space="preserve"> — a complete test of the generation on that tree. An error in castling, en passant, promotion, check or blocking necessarily changes at least one subtree and distorts the sum.</w:t>
      </w:r>
    </w:p>
    <w:p>
      <w:pPr>
        <w:spacing w:after="80" w:line="312"/>
        <w:ind w:firstLine="480"/>
        <w:jc w:val="both"/>
      </w:pPr>
      <w:r>
        <w:rPr>
          <w:rFonts w:ascii="Times New Roman" w:eastAsia="SimSun"/>
          <w:color w:val="000000"/>
          <w:sz w:val="24"/>
          <w:szCs w:val="24"/>
        </w:rPr>
        <w:t xml:space="preserve">The values. perft(1) = 20 — sixteen pawn moves plus four knight moves (proved in T05(ii)). perft(2) = 400: after each of the 20 moves the opposite side has exactly 20 replies (the symmetry is broken only after 1.e4/1.d4, but the total is </w:t>
      </w:r>
      <w:r>
        <w:rPr>
          <w:rFonts w:ascii="Times New Roman" w:eastAsia="SimSun"/>
          <w:i/>
          <w:iCs/>
          <w:color w:val="000000"/>
          <w:sz w:val="24"/>
          <w:szCs w:val="24"/>
        </w:rPr>
        <w:t xml:space="preserve">20 · 20 = 400</w:t>
      </w:r>
      <w:r>
        <w:rPr>
          <w:rFonts w:ascii="Times New Roman" w:eastAsia="SimSun"/>
          <w:color w:val="000000"/>
          <w:sz w:val="24"/>
          <w:szCs w:val="24"/>
        </w:rPr>
        <w:t xml:space="preserve">). perft(3) = 8902: the divide table below fixes the split over all 20 moves; for example, after 1.e4 Black has 600 replies, after 1.Nf3 — 440. perft(4) = 197281 and perft(5) = 4865609 follow by the same enumeration; their independent reproduction by hundreds of engines turned these numbers into world reference constants. In the program the values are computed by our own generation and cross-checked with the frozen baseline — no external data are used in the verification.</w:t>
      </w:r>
    </w:p>
    <w:p>
      <w:pPr>
        <w:spacing w:after="80" w:line="312"/>
        <w:ind w:firstLine="480"/>
        <w:jc w:val="both"/>
      </w:pPr>
      <w:r>
        <w:rPr>
          <w:rFonts w:ascii="Times New Roman" w:eastAsia="SimSun"/>
          <w:color w:val="000000"/>
          <w:sz w:val="24"/>
          <w:szCs w:val="24"/>
        </w:rPr>
        <w:t xml:space="preserve">Error localization. The divide(3) table splits 8902 into 20 summands; an error in any particular situation (for instance, an incorrect en passant) changes exactly the branches passing through it and localizes the defect to one initial move. This makes perft not just a test but a diagnostic instrument. The theorem is proved in the status of a protocol theorem: the statement is an exactly fixed identity verifiable by full enumeration.</w:t>
      </w:r>
    </w:p>
    <w:p>
      <w:pPr>
        <w:pStyle w:val="Heading1"/>
        <w:spacing w:after="160" w:before="360" w:line="312"/>
      </w:pPr>
      <w:bookmarkStart w:id="100003" w:name="_Toc100003"/>
      <w:r>
        <w:rPr>
          <w:rFonts w:ascii="Times New Roman" w:eastAsia="SimSun"/>
          <w:b/>
          <w:bCs/>
          <w:color w:val="000000"/>
          <w:sz w:val="30"/>
          <w:szCs w:val="30"/>
        </w:rPr>
        <w:t xml:space="preserve">Protocol data</w:t>
      </w:r>
      <w:bookmarkEnd w:id="100003"/>
    </w:p>
    <w:p>
      <w:pPr>
        <w:keepNext/>
        <w:spacing w:after="60" w:before="160" w:line="312"/>
      </w:pPr>
      <w:r>
        <w:rPr>
          <w:rFonts w:ascii="Times New Roman" w:eastAsia="SimSun"/>
          <w:b/>
          <w:bCs/>
          <w:color w:val="000000"/>
          <w:sz w:val="21"/>
          <w:szCs w:val="21"/>
        </w:rPr>
        <w:t xml:space="preserve">divide(3): contributions of the initial moves to perft(3) = 8902</w:t>
      </w:r>
    </w:p>
    <w:tbl>
      <w:tblPr>
        <w:tblW w:type="pct" w:w="100%"/>
        <w:tblBorders>
          <w:top w:val="single" w:color="555555" w:sz="6"/>
          <w:left w:val="none" w:color="FFFFFF" w:sz="0"/>
          <w:bottom w:val="single" w:color="555555" w:sz="6"/>
          <w:right w:val="none" w:color="FFFFFF" w:sz="0"/>
          <w:insideH w:val="single" w:color="CCCCCC" w:sz="2"/>
          <w:insideV w:val="none" w:color="FFFFFF" w:sz="0"/>
        </w:tblBorders>
        <w:tblLayout w:type="fixed"/>
      </w:tblPr>
      <w:tblGrid>
        <w:gridCol w:w="100"/>
        <w:gridCol w:w="100"/>
        <w:gridCol w:w="100"/>
        <w:gridCol w:w="100"/>
      </w:tblGrid>
      <w:tr>
        <w:trPr>
          <w:cantSplit/>
          <w:tblHeader/>
        </w:trPr>
        <w:tc>
          <w:tcPr>
            <w:tcW w:type="pct" w:w="23.5%"/>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Move</w:t>
            </w:r>
          </w:p>
        </w:tc>
        <w:tc>
          <w:tcPr>
            <w:tcW w:type="pct" w:w="23.5%"/>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Count</w:t>
            </w:r>
          </w:p>
        </w:tc>
        <w:tc>
          <w:tcPr>
            <w:tcW w:type="pct" w:w="23.5%"/>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Move</w:t>
            </w:r>
          </w:p>
        </w:tc>
        <w:tc>
          <w:tcPr>
            <w:tcW w:type="pct" w:w="23.5%"/>
            <w:shd w:fill="F1F5F9" w:val="clear"/>
            <w:tcMar>
              <w:top w:type="dxa" w:w="60"/>
              <w:left w:type="dxa" w:w="100"/>
              <w:bottom w:type="dxa" w:w="60"/>
              <w:right w:type="dxa" w:w="100"/>
            </w:tcMar>
          </w:tcPr>
          <w:p>
            <w:pPr>
              <w:spacing w:line="280"/>
              <w:jc w:val="left"/>
            </w:pPr>
            <w:r>
              <w:rPr>
                <w:rFonts w:ascii="Times New Roman" w:eastAsia="SimSun"/>
                <w:b/>
                <w:bCs/>
                <w:color w:val="000000"/>
                <w:sz w:val="21"/>
                <w:szCs w:val="21"/>
              </w:rPr>
              <w:t xml:space="preserve">Count</w:t>
            </w:r>
          </w:p>
        </w:tc>
      </w:tr>
      <w:tr>
        <w:trPr>
          <w:cantSplit/>
        </w:trPr>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a2a3</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380</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a2a4</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420</w:t>
            </w:r>
          </w:p>
        </w:tc>
      </w:tr>
      <w:tr>
        <w:trPr>
          <w:cantSplit/>
        </w:trPr>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b2b3</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420</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b2b4</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421</w:t>
            </w:r>
          </w:p>
        </w:tc>
      </w:tr>
      <w:tr>
        <w:trPr>
          <w:cantSplit/>
        </w:trPr>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c2c3</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420</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c2c4</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441</w:t>
            </w:r>
          </w:p>
        </w:tc>
      </w:tr>
      <w:tr>
        <w:trPr>
          <w:cantSplit/>
        </w:trPr>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d2d3</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539</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d2d4</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560</w:t>
            </w:r>
          </w:p>
        </w:tc>
      </w:tr>
      <w:tr>
        <w:trPr>
          <w:cantSplit/>
        </w:trPr>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e2e3</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599</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e2e4</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600</w:t>
            </w:r>
          </w:p>
        </w:tc>
      </w:tr>
      <w:tr>
        <w:trPr>
          <w:cantSplit/>
        </w:trPr>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f2f3</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380</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f2f4</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401</w:t>
            </w:r>
          </w:p>
        </w:tc>
      </w:tr>
      <w:tr>
        <w:trPr>
          <w:cantSplit/>
        </w:trPr>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g2g3</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420</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g2g4</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421</w:t>
            </w:r>
          </w:p>
        </w:tc>
      </w:tr>
      <w:tr>
        <w:trPr>
          <w:cantSplit/>
        </w:trPr>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h2h3</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380</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h2h4</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420</w:t>
            </w:r>
          </w:p>
        </w:tc>
      </w:tr>
      <w:tr>
        <w:trPr>
          <w:cantSplit/>
        </w:trPr>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b1a3</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400</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b1c3</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440</w:t>
            </w:r>
          </w:p>
        </w:tc>
      </w:tr>
      <w:tr>
        <w:trPr>
          <w:cantSplit/>
        </w:trPr>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g1f3</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440</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g1h3</w:t>
            </w:r>
          </w:p>
        </w:tc>
        <w:tc>
          <w:tcPr>
            <w:tcW w:type="pct" w:w="23.5%"/>
            <w:tcMar>
              <w:top w:type="dxa" w:w="60"/>
              <w:left w:type="dxa" w:w="100"/>
              <w:bottom w:type="dxa" w:w="60"/>
              <w:right w:type="dxa" w:w="100"/>
            </w:tcMar>
          </w:tcPr>
          <w:p>
            <w:pPr>
              <w:spacing w:line="280"/>
              <w:jc w:val="left"/>
            </w:pPr>
            <w:r>
              <w:rPr>
                <w:rFonts w:ascii="Times New Roman" w:eastAsia="SimSun"/>
                <w:b w:val="false"/>
                <w:bCs w:val="false"/>
                <w:color w:val="000000"/>
                <w:sz w:val="21"/>
                <w:szCs w:val="21"/>
              </w:rPr>
              <w:t xml:space="preserve">400</w:t>
            </w:r>
          </w:p>
        </w:tc>
      </w:tr>
    </w:tbl>
    <w:p>
      <w:pPr>
        <w:spacing w:after="120"/>
      </w:pPr>
    </w:p>
    <w:p>
      <w:pPr>
        <w:pStyle w:val="Heading1"/>
        <w:spacing w:after="160" w:before="360" w:line="312"/>
      </w:pPr>
      <w:bookmarkStart w:id="100004" w:name="_Toc100004"/>
      <w:r>
        <w:rPr>
          <w:rFonts w:ascii="Times New Roman" w:eastAsia="SimSun"/>
          <w:b/>
          <w:bCs/>
          <w:color w:val="000000"/>
          <w:sz w:val="30"/>
          <w:szCs w:val="30"/>
        </w:rPr>
        <w:t xml:space="preserve">Summary of what is proved</w:t>
      </w:r>
      <w:bookmarkEnd w:id="100004"/>
    </w:p>
    <w:p>
      <w:pPr>
        <w:spacing w:after="80" w:line="312"/>
        <w:ind w:firstLine="480"/>
        <w:jc w:val="both"/>
      </w:pPr>
      <w:r>
        <w:rPr>
          <w:rFonts w:ascii="Times New Roman" w:eastAsia="SimSun"/>
          <w:color w:val="000000"/>
          <w:sz w:val="24"/>
          <w:szCs w:val="24"/>
        </w:rPr>
        <w:t xml:space="preserve">We fixed the perft identities perft(1..5) = 20, 400, 8902, 197281, 4865609 with the complete divide table of depth 3; proved their status as the correctness certificate of move generation (the agreement of the values is equivalent to the agreement of the legal-move sets on the depth-d tree) and their diagnostic power (error localization to an initial move). The move generator of the program passes all the identities — the foundation on which the search T10 and the retrograde analysis T11 rest.</w:t>
      </w:r>
    </w:p>
    <w:p>
      <w:pPr>
        <w:pStyle w:val="Heading1"/>
        <w:spacing w:after="160" w:before="360" w:line="312"/>
      </w:pPr>
      <w:bookmarkStart w:id="100005" w:name="_Toc100005"/>
      <w:r>
        <w:rPr>
          <w:rFonts w:ascii="Times New Roman" w:eastAsia="SimSun"/>
          <w:b/>
          <w:bCs/>
          <w:color w:val="000000"/>
          <w:sz w:val="30"/>
          <w:szCs w:val="30"/>
        </w:rPr>
        <w:t xml:space="preserve">Verification</w:t>
      </w:r>
      <w:bookmarkEnd w:id="100005"/>
    </w:p>
    <w:p>
      <w:pPr>
        <w:spacing w:after="80" w:line="312"/>
        <w:ind w:firstLine="480"/>
        <w:jc w:val="both"/>
      </w:pPr>
      <w:r>
        <w:rPr>
          <w:rFonts w:ascii="Times New Roman" w:eastAsia="SimSun"/>
          <w:color w:val="000000"/>
          <w:sz w:val="24"/>
          <w:szCs w:val="24"/>
        </w:rPr>
        <w:t xml:space="preserve">Check: python3 dynamics.py --run C5 (perft 1..4) and python3 dynamics.py --run C5 --deep (perft 5 and the full divide table); the C5 line of the polyglot core in all seven languages. The full C5 takes about 2 seconds in the laboratory, the deep mode about 70 seconds on a phone.</w:t>
      </w:r>
    </w:p>
    <w:p>
      <w:pPr>
        <w:pBdr>
          <w:top w:val="single" w:color="999999" w:sz="6" w:space="6"/>
        </w:pBdr>
        <w:spacing w:before="240"/>
      </w:pPr>
      <w:r>
        <w:rPr>
          <w:rFonts w:ascii="Times New Roman" w:eastAsia="SimSun"/>
          <w:color w:val="606060"/>
          <w:sz w:val="18"/>
          <w:szCs w:val="18"/>
        </w:rPr>
        <w:t xml:space="preserve">© 2026 chess-dynamics-lab · Individual exclusive license</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60606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SimSun"/>
      <w:b/>
      <w:bCs/>
      <w:color w:val="000000"/>
      <w:sz w:val="30"/>
      <w:szCs w:val="30"/>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T08 — The Perft Identities: the Correctness Certificate of the Move Generator</dc:title>
  <dc:creator>Isaev Iskhak Khamzatovich</dc:creator>
  <dc:description>Theorem monograph T08 of the chess-dynamics-lab program</dc:description>
  <cp:lastModifiedBy>Un-named</cp:lastModifiedBy>
  <cp:revision>1</cp:revision>
  <dcterms:created xsi:type="dcterms:W3CDTF">2026-09-29T21:58:05.338Z</dcterms:created>
  <dcterms:modified xsi:type="dcterms:W3CDTF">2026-09-29T21:58:05.338Z</dcterms:modified>
</cp:coreProperties>
</file>

<file path=docProps/custom.xml><?xml version="1.0" encoding="utf-8"?>
<Properties xmlns="http://schemas.openxmlformats.org/officeDocument/2006/custom-properties" xmlns:vt="http://schemas.openxmlformats.org/officeDocument/2006/docPropsVTypes"/>
</file>