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445"/>
            </w:pPr>
          </w:p>
          <w:p>
            <w:pPr>
              <w:spacing w:after="400" w:line="414" w:lineRule="atLeast"/>
              <w:jc w:val="center"/>
            </w:pPr>
            <w:r>
              <w:rPr>
                <w:rFonts w:ascii="Times New Roman" w:eastAsia="SimSun"/>
                <w:color w:val="162032"/>
                <w:spacing w:val="60"/>
                <w:sz w:val="36"/>
                <w:szCs w:val="36"/>
              </w:rPr>
              <w:t xml:space="preserve">CHESS-DYNAMICS-LAB</w:t>
            </w:r>
          </w:p>
          <w:p>
            <w:pPr>
              <w:spacing w:after="12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The State Space and the</w:t>
            </w:r>
          </w:p>
          <w:p>
            <w:pPr>
              <w:spacing w:after="30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C1–C9 Protocol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/>
                <w:color w:val="404040"/>
                <w:sz w:val="26"/>
                <w:szCs w:val="26"/>
              </w:rPr>
              <w:t xml:space="preserve">Theorem monograph T12 of the chess-dynamics-lab program — the consolidated protocol</w:t>
            </w:r>
          </w:p>
          <w:p>
            <w:pPr>
              <w:spacing w:before="1227"/>
            </w:pPr>
          </w:p>
          <w:tbl>
            <w:tblPr>
              <w:tblW w:type="pct" w:w="55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Author: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Isaev Iskhak Khamzatovich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Series: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Theorem monograph T12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Program: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chess-dynamics-lab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Layer: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the consolidated protocol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License: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Individual exclusive</w:t>
                  </w:r>
                </w:p>
              </w:tc>
            </w:tr>
          </w:tbl>
          <w:p>
            <w:pPr>
              <w:spacing w:before="4547"/>
            </w:pPr>
          </w:p>
          <w:p>
            <w:pPr>
              <w:jc w:val="center"/>
            </w:pPr>
            <w:r>
              <w:rPr>
                <w:rFonts w:ascii="Times New Roman" w:eastAsia="SimSun"/>
                <w:color w:val="404040"/>
                <w:sz w:val="20"/>
                <w:szCs w:val="20"/>
              </w:rPr>
              <w:t xml:space="preserve">© 2026 chess-dynamics-lab · Individual exclusive license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Sun"/>
          <w:b/>
          <w:bCs/>
          <w:sz w:val="32"/>
          <w:szCs w:val="3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Problem statement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Theorem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Proof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Protocol data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Summary of what is proved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Verification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Note: this Table of Contents is generated via field codes. To ensure page number accuracy after editing, please right-click the TOC and select "Update Field."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spacing w:after="240"/>
        <w:jc w:val="center"/>
      </w:pPr>
      <w:r>
        <w:rPr>
          <w:rFonts w:ascii="Times New Roman" w:eastAsia="SimSun"/>
          <w:b/>
          <w:bCs/>
          <w:color w:val="8B7E5A"/>
          <w:sz w:val="20"/>
          <w:szCs w:val="20"/>
        </w:rPr>
        <w:t xml:space="preserve">THEOREM MONOGRAPH T12 · CHESS-DYNAMICS-LAB</w:t>
      </w:r>
    </w:p>
    <w:p>
      <w:pPr>
        <w:spacing w:after="160" w:line="391" w:lineRule="atLeast"/>
        <w:jc w:val="center"/>
      </w:pPr>
      <w:r>
        <w:rPr>
          <w:rFonts w:ascii="Times New Roman" w:eastAsia="SimSun"/>
          <w:b/>
          <w:bCs/>
          <w:color w:val="000000"/>
          <w:sz w:val="34"/>
          <w:szCs w:val="34"/>
        </w:rPr>
        <w:t xml:space="preserve">The State Space and the C1–C9 Protocol</w:t>
      </w:r>
    </w:p>
    <w:p>
      <w:pPr>
        <w:spacing w:after="120"/>
        <w:jc w:val="center"/>
      </w:pPr>
      <w:r>
        <w:rPr>
          <w:rFonts w:ascii="Times New Roman" w:eastAsia="SimSun"/>
          <w:color w:val="404040"/>
          <w:sz w:val="24"/>
          <w:szCs w:val="24"/>
        </w:rPr>
        <w:t xml:space="preserve">Theorem monograph T12 of the chess-dynamics-lab program — the consolidated protocol</w:t>
      </w:r>
    </w:p>
    <w:p>
      <w:pPr>
        <w:spacing w:after="40"/>
        <w:jc w:val="center"/>
      </w:pPr>
      <w:r>
        <w:rPr>
          <w:rFonts w:ascii="Times New Roman" w:eastAsia="SimSun"/>
          <w:color w:val="000000"/>
          <w:sz w:val="22"/>
          <w:szCs w:val="22"/>
        </w:rPr>
        <w:t xml:space="preserve">Isaev Iskhak Khamzatovich</w:t>
      </w:r>
    </w:p>
    <w:p>
      <w:pPr>
        <w:spacing w:after="60"/>
        <w:jc w:val="center"/>
      </w:pPr>
      <w:r>
        <w:rPr>
          <w:rFonts w:ascii="Times New Roman" w:eastAsia="SimSun"/>
          <w:color w:val="606060"/>
          <w:sz w:val="18"/>
          <w:szCs w:val="18"/>
        </w:rPr>
        <w:t xml:space="preserve">Keywords: state space, protocol, failure isolation, reproducibility</w:t>
      </w:r>
    </w:p>
    <w:p>
      <w:pPr>
        <w:pBdr>
          <w:bottom w:val="single" w:color="8B7E5A" w:sz="8" w:space="4"/>
        </w:pBdr>
        <w:spacing w:after="240"/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Problem statement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Theorems T01–T11 describe the individual layers of the particle model — the board algebra, the kinematics of graphs, mobility, threat fields, energy, the flow, the generation, the memory and the search. But a physics is valid only when all its layers live in one exactly specified state space and are verified by a single protocol. This is the closing link of the program theory: to define the state, to show the structure of its space and to fix the C1–C9 protocol — nine checks, each of which certificate-closes its own theorem.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principle is inherited from the parent hodge-laboratory program: a statement counts as proved when it is reproduced by a one-command protocol on any machine — from a server to a Termux phone. Therefore the protocol is designed as a set of isolated checks: the failure of one does not block the others, each returns a boolean verdict and details, and the aggregate verdict ALL CHECKS PASSED is attainable only under the full agreement of theory and computation across all nine directions.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international context: the protocol builds on the classics of chess programming — the community perft references, the endgame tablebase values, the Knuth–Moore bound, Zobrist hashing — and adds its own layer: the three-particle model (threat fields, the Lagrangian, the flow) with its own invariants, above all the equivariance of the fields under the board group of T01.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Theorem</w:t>
      </w:r>
      <w:bookmarkEnd w:id="100001"/>
    </w:p>
    <w:p>
      <w:pPr>
        <w:pBdr>
          <w:left w:val="single" w:color="8B7E5A" w:sz="24" w:space="8"/>
        </w:pBdr>
        <w:shd w:fill="F6F4EF" w:val="clear"/>
        <w:spacing w:after="120" w:before="120" w:line="312"/>
        <w:ind w:left="240" w:right="1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Theorem T12 (the state space and the completeness of the protocol).</w:t>
      </w:r>
      <w:r>
        <w:rPr>
          <w:sz w:val="24"/>
          <w:szCs w:val="24"/>
        </w:rPr>
        <w:t xml:space="preserve"> </w:t>
      </w:r>
      <w:r>
        <w:rPr>
          <w:rFonts w:ascii="Times New Roman" w:eastAsia="SimSun"/>
          <w:color w:val="000000"/>
          <w:sz w:val="24"/>
          <w:szCs w:val="24"/>
        </w:rPr>
        <w:t xml:space="preserve">(i) A position state is the tuple: the board in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{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EMPTY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, …,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BK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}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128</w:t>
      </w:r>
      <w:r>
        <w:rPr>
          <w:rFonts w:ascii="Times New Roman" w:eastAsia="SimSun"/>
          <w:color w:val="000000"/>
          <w:sz w:val="24"/>
          <w:szCs w:val="24"/>
        </w:rPr>
        <w:t xml:space="preserve"> in the 0x88 representation, the side to move, the castling rights in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, the ep square, the halfmove clock, the move number; the 0x88 encoding gives O(1) boundary and attack tests. (ii) For three-piece endgames the space packs into 22 bits; the realizable states: KRK — 399112, KQK — 368452. (iii) The C1–C9 protocol closes theorems T01–T11: every check is a boolean result with details; a failure is isolated (the exception is caught, the remaining checks continue); the ALL CHECKS PASSED verdict means the simultaneous success of all nine. (iv) The polyglot battery C1–C10 in seven languages prints an identical [PASS]/[FAIL] line format and the final verdict 10/10.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Proof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(i) Specification. The state is realized by the Position structure with a board field of length 128: the index sq = r·16 + f turns the "off-board" test into sq &amp; 0x88 ≠ 0 — one bitwise operation instead of two comparisons; the piece offsets are constant arrays that never leave the array bounds. The state round-trip invariant — the FEN cycle: set_fen(to_fen(P)) restores the position and the hash exactly (verified on all protocol positions and in the pytest tests). The is_valid validator checks consistency: exactly two kings, no pawns on the first and last ranks, the consistency of the castling rights and the ep square.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(ii) Reductions of the space. Three compression principles. First — the 22-bit packing of three-piece states (T11): wk | wq&lt;&lt;7 | bk&lt;&lt;14 | stm&lt;&lt;21. Second — the symmetry reduction: the group V4 of color-preserving symmetries of T01 acts freely on almost all positions, cutting the equivalence classes roughly fourfold; the bases store orbits, and the protocol verifies the equivariance. Third — irreversibility: the halfmove clock splits the history into continuation trees; in transposition tables a position is distinguishable only together with the clock — otherwise the 50-move rule would break the determinism.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(iii) The mapping of the checks to the theorems is pinned by the table below; every row is a closed loop "theorem → check → constants". Failure isolation is implemented in run_protocol: every check runs inside an exception catch; a FAIL returns the details and does not interrupt the rest; the aggregate verdict is the conjunction of all boolean results. The determinism of all checks (fixed seeds, the total move order of T10(iv)) makes the verdict reproducible on any machine — x86 servers and ARM Termux phones alike.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(iv) Cross-language consistency. The polyglot core implements the C1–C10 battery in seven languages with an identical output format: a line "[PASS] Cn note" or "[FAIL] Cn reason", ending with "verdict: 10/10". Bit-identical reference constants (perft, orbits, censuses, splitmix64) guarantee that a mismatch of any single backend is caught by comparing the lines. Python, C and JavaScript are verified locally; Rust, Go, Julia and Java are verified in GitHub Actions on every push. The theorem is proved.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Protocol data</w:t>
      </w:r>
      <w:bookmarkEnd w:id="100003"/>
    </w:p>
    <w:p>
      <w:pPr>
        <w:keepNext/>
        <w:spacing w:after="60" w:before="160" w:line="312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The mapping of the protocol to the theorems</w:t>
      </w:r>
    </w:p>
    <w:tbl>
      <w:tblPr>
        <w:tblW w:type="pct" w:w="100%"/>
        <w:tblBorders>
          <w:top w:val="single" w:color="555555" w:sz="6"/>
          <w:left w:val="none" w:color="FFFFFF" w:sz="0"/>
          <w:bottom w:val="single" w:color="555555" w:sz="6"/>
          <w:right w:val="none" w:color="FFFFFF" w:sz="0"/>
          <w:insideH w:val="single" w:color="CCCCCC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1.267689445313218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Check</w:t>
            </w:r>
          </w:p>
        </w:tc>
        <w:tc>
          <w:tcPr>
            <w:tcW w:type="pct" w:w="35.732310554686784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Content</w:t>
            </w:r>
          </w:p>
        </w:tc>
        <w:tc>
          <w:tcPr>
            <w:tcW w:type="pct" w:w="11.267689445313218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Theorem</w:t>
            </w:r>
          </w:p>
        </w:tc>
        <w:tc>
          <w:tcPr>
            <w:tcW w:type="pct" w:w="35.732310554686784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Key constants</w:t>
            </w:r>
          </w:p>
        </w:tc>
      </w:tr>
      <w:tr>
        <w:trPr>
          <w:cantSplit/>
        </w:trPr>
        <w:tc>
          <w:tcPr>
            <w:tcW w:type="pct" w:w="11.2676894453132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C1</w:t>
            </w:r>
          </w:p>
        </w:tc>
        <w:tc>
          <w:tcPr>
            <w:tcW w:type="pct" w:w="35.7323105546867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V4/D4 orbits, Burnside lemma</w:t>
            </w:r>
          </w:p>
        </w:tc>
        <w:tc>
          <w:tcPr>
            <w:tcW w:type="pct" w:w="11.2676894453132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T01</w:t>
            </w:r>
          </w:p>
        </w:tc>
        <w:tc>
          <w:tcPr>
            <w:tcW w:type="pct" w:w="35.7323105546867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 and 10 orbits</w:t>
            </w:r>
          </w:p>
        </w:tc>
      </w:tr>
      <w:tr>
        <w:trPr>
          <w:cantSplit/>
        </w:trPr>
        <w:tc>
          <w:tcPr>
            <w:tcW w:type="pct" w:w="11.2676894453132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C2</w:t>
            </w:r>
          </w:p>
        </w:tc>
        <w:tc>
          <w:tcPr>
            <w:tcW w:type="pct" w:w="35.7323105546867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edge censuses of the move graphs</w:t>
            </w:r>
          </w:p>
        </w:tc>
        <w:tc>
          <w:tcPr>
            <w:tcW w:type="pct" w:w="11.2676894453132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T02</w:t>
            </w:r>
          </w:p>
        </w:tc>
        <w:tc>
          <w:tcPr>
            <w:tcW w:type="pct" w:w="35.7323105546867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R448/B280/N168/K210/Q728</w:t>
            </w:r>
          </w:p>
        </w:tc>
      </w:tr>
      <w:tr>
        <w:trPr>
          <w:cantSplit/>
        </w:trPr>
        <w:tc>
          <w:tcPr>
            <w:tcW w:type="pct" w:w="11.2676894453132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C3</w:t>
            </w:r>
          </w:p>
        </w:tc>
        <w:tc>
          <w:tcPr>
            <w:tcW w:type="pct" w:w="35.7323105546867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mobility: sums and maxima</w:t>
            </w:r>
          </w:p>
        </w:tc>
        <w:tc>
          <w:tcPr>
            <w:tcW w:type="pct" w:w="11.2676894453132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T03</w:t>
            </w:r>
          </w:p>
        </w:tc>
        <w:tc>
          <w:tcPr>
            <w:tcW w:type="pct" w:w="35.7323105546867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896/560/336/420/1456; max 27</w:t>
            </w:r>
          </w:p>
        </w:tc>
      </w:tr>
      <w:tr>
        <w:trPr>
          <w:cantSplit/>
        </w:trPr>
        <w:tc>
          <w:tcPr>
            <w:tcW w:type="pct" w:w="11.2676894453132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C4</w:t>
            </w:r>
          </w:p>
        </w:tc>
        <w:tc>
          <w:tcPr>
            <w:tcW w:type="pct" w:w="35.7323105546867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flow termination t*, billiard</w:t>
            </w:r>
          </w:p>
        </w:tc>
        <w:tc>
          <w:tcPr>
            <w:tcW w:type="pct" w:w="11.2676894453132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T06</w:t>
            </w:r>
          </w:p>
        </w:tc>
        <w:tc>
          <w:tcPr>
            <w:tcW w:type="pct" w:w="35.7323105546867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t* = lcm(W/gcd(a,W), H/gcd(b,H))</w:t>
            </w:r>
          </w:p>
        </w:tc>
      </w:tr>
      <w:tr>
        <w:trPr>
          <w:cantSplit/>
        </w:trPr>
        <w:tc>
          <w:tcPr>
            <w:tcW w:type="pct" w:w="11.2676894453132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C5</w:t>
            </w:r>
          </w:p>
        </w:tc>
        <w:tc>
          <w:tcPr>
            <w:tcW w:type="pct" w:w="35.7323105546867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perft identities</w:t>
            </w:r>
          </w:p>
        </w:tc>
        <w:tc>
          <w:tcPr>
            <w:tcW w:type="pct" w:w="11.2676894453132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T08</w:t>
            </w:r>
          </w:p>
        </w:tc>
        <w:tc>
          <w:tcPr>
            <w:tcW w:type="pct" w:w="35.7323105546867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20/400/8902/197281/4865609</w:t>
            </w:r>
          </w:p>
        </w:tc>
      </w:tr>
      <w:tr>
        <w:trPr>
          <w:cantSplit/>
        </w:trPr>
        <w:tc>
          <w:tcPr>
            <w:tcW w:type="pct" w:w="11.2676894453132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C6</w:t>
            </w:r>
          </w:p>
        </w:tc>
        <w:tc>
          <w:tcPr>
            <w:tcW w:type="pct" w:w="35.7323105546867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equivariance of threat fields</w:t>
            </w:r>
          </w:p>
        </w:tc>
        <w:tc>
          <w:tcPr>
            <w:tcW w:type="pct" w:w="11.2676894453132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T04</w:t>
            </w:r>
          </w:p>
        </w:tc>
        <w:tc>
          <w:tcPr>
            <w:tcW w:type="pct" w:w="35.7323105546867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commutation with D4</w:t>
            </w:r>
          </w:p>
        </w:tc>
      </w:tr>
      <w:tr>
        <w:trPr>
          <w:cantSplit/>
        </w:trPr>
        <w:tc>
          <w:tcPr>
            <w:tcW w:type="pct" w:w="11.2676894453132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C7</w:t>
            </w:r>
          </w:p>
        </w:tc>
        <w:tc>
          <w:tcPr>
            <w:tcW w:type="pct" w:w="35.7323105546867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Lagrangian energy</w:t>
            </w:r>
          </w:p>
        </w:tc>
        <w:tc>
          <w:tcPr>
            <w:tcW w:type="pct" w:w="11.2676894453132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T05</w:t>
            </w:r>
          </w:p>
        </w:tc>
        <w:tc>
          <w:tcPr>
            <w:tcW w:type="pct" w:w="35.7323105546867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 = 20; after e4 m = 30</w:t>
            </w:r>
          </w:p>
        </w:tc>
      </w:tr>
      <w:tr>
        <w:trPr>
          <w:cantSplit/>
        </w:trPr>
        <w:tc>
          <w:tcPr>
            <w:tcW w:type="pct" w:w="11.2676894453132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C8</w:t>
            </w:r>
          </w:p>
        </w:tc>
        <w:tc>
          <w:tcPr>
            <w:tcW w:type="pct" w:w="35.7323105546867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retrograde bases + tactics</w:t>
            </w:r>
          </w:p>
        </w:tc>
        <w:tc>
          <w:tcPr>
            <w:tcW w:type="pct" w:w="11.2676894453132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T10, T11</w:t>
            </w:r>
          </w:p>
        </w:tc>
        <w:tc>
          <w:tcPr>
            <w:tcW w:type="pct" w:w="35.7323105546867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KRK 16, KQK 10 moves</w:t>
            </w:r>
          </w:p>
        </w:tc>
      </w:tr>
      <w:tr>
        <w:trPr>
          <w:cantSplit/>
        </w:trPr>
        <w:tc>
          <w:tcPr>
            <w:tcW w:type="pct" w:w="11.2676894453132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C9</w:t>
            </w:r>
          </w:p>
        </w:tc>
        <w:tc>
          <w:tcPr>
            <w:tcW w:type="pct" w:w="35.7323105546867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Zobrist, splitmix64</w:t>
            </w:r>
          </w:p>
        </w:tc>
        <w:tc>
          <w:tcPr>
            <w:tcW w:type="pct" w:w="11.2676894453132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T09</w:t>
            </w:r>
          </w:p>
        </w:tc>
        <w:tc>
          <w:tcPr>
            <w:tcW w:type="pct" w:w="35.73231055468678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1562 keys; bound 0.027</w:t>
            </w:r>
          </w:p>
        </w:tc>
      </w:tr>
    </w:tbl>
    <w:p>
      <w:pPr>
        <w:spacing w:after="120"/>
      </w:pPr>
    </w:p>
    <w:p>
      <w:pPr>
        <w:keepNext/>
        <w:spacing w:after="60" w:before="160" w:line="312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Properties of the protocol as a system</w:t>
      </w:r>
    </w:p>
    <w:tbl>
      <w:tblPr>
        <w:tblW w:type="pct" w:w="100%"/>
        <w:tblBorders>
          <w:top w:val="single" w:color="555555" w:sz="6"/>
          <w:left w:val="none" w:color="FFFFFF" w:sz="0"/>
          <w:bottom w:val="single" w:color="555555" w:sz="6"/>
          <w:right w:val="none" w:color="FFFFFF" w:sz="0"/>
          <w:insideH w:val="single" w:color="CCCCCC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1.317976903202908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Property</w:t>
            </w:r>
          </w:p>
        </w:tc>
        <w:tc>
          <w:tcPr>
            <w:tcW w:type="pct" w:w="40.05275442656457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Mechanism</w:t>
            </w:r>
          </w:p>
        </w:tc>
        <w:tc>
          <w:tcPr>
            <w:tcW w:type="pct" w:w="32.62926867023251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Consequence</w:t>
            </w:r>
          </w:p>
        </w:tc>
      </w:tr>
      <w:tr>
        <w:trPr>
          <w:cantSplit/>
        </w:trPr>
        <w:tc>
          <w:tcPr>
            <w:tcW w:type="pct" w:w="21.31797690320290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failure isolation</w:t>
            </w:r>
          </w:p>
        </w:tc>
        <w:tc>
          <w:tcPr>
            <w:tcW w:type="pct" w:w="40.0527544265645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exception catch in run_protocol</w:t>
            </w:r>
          </w:p>
        </w:tc>
        <w:tc>
          <w:tcPr>
            <w:tcW w:type="pct" w:w="32.6292686702325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one FAIL hides nothing</w:t>
            </w:r>
          </w:p>
        </w:tc>
      </w:tr>
      <w:tr>
        <w:trPr>
          <w:cantSplit/>
        </w:trPr>
        <w:tc>
          <w:tcPr>
            <w:tcW w:type="pct" w:w="21.31797690320290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reproducibility</w:t>
            </w:r>
          </w:p>
        </w:tc>
        <w:tc>
          <w:tcPr>
            <w:tcW w:type="pct" w:w="40.0527544265645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determinism T10(iv), fixed seeds</w:t>
            </w:r>
          </w:p>
        </w:tc>
        <w:tc>
          <w:tcPr>
            <w:tcW w:type="pct" w:w="32.6292686702325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the same verdict on any machine</w:t>
            </w:r>
          </w:p>
        </w:tc>
      </w:tr>
      <w:tr>
        <w:trPr>
          <w:cantSplit/>
        </w:trPr>
        <w:tc>
          <w:tcPr>
            <w:tcW w:type="pct" w:w="21.31797690320290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cross-language reach</w:t>
            </w:r>
          </w:p>
        </w:tc>
        <w:tc>
          <w:tcPr>
            <w:tcW w:type="pct" w:w="40.0527544265645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polyglot battery C1–C10, 7 languages</w:t>
            </w:r>
          </w:p>
        </w:tc>
        <w:tc>
          <w:tcPr>
            <w:tcW w:type="pct" w:w="32.6292686702325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the verdict: 10/10 reference line</w:t>
            </w:r>
          </w:p>
        </w:tc>
      </w:tr>
      <w:tr>
        <w:trPr>
          <w:cantSplit/>
        </w:trPr>
        <w:tc>
          <w:tcPr>
            <w:tcW w:type="pct" w:w="21.31797690320290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depth</w:t>
            </w:r>
          </w:p>
        </w:tc>
        <w:tc>
          <w:tcPr>
            <w:tcW w:type="pct" w:w="40.0527544265645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the --deep mode: perft(5), extended checks</w:t>
            </w:r>
          </w:p>
        </w:tc>
        <w:tc>
          <w:tcPr>
            <w:tcW w:type="pct" w:w="32.6292686702325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two levels of rigor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Summary of what is proved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We specified the state space of the laboratory, its reductions and invariants, pinned the one-to-one mapping of the checks C1–C9 onto the theorems T01–T11, proved the failure isolation and the reproducibility of the verdict, and the cross-language consistency of the polyglot battery. The program is thereby closed: every theorem has an executable form, and the whole theory has a single verdict verifiable by one command.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Verification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python3 dynamics.py --report — the full protocol with the verdict; python3 dynamics.py --run Ck — an individual check; bash polyglot/run_all.sh — the cross-language battery with the summary table. The full --report takes tens of seconds on a phone (dominated by C5) and seconds on a server.</w:t>
      </w:r>
    </w:p>
    <w:p>
      <w:pPr>
        <w:pBdr>
          <w:top w:val="single" w:color="999999" w:sz="6" w:space="6"/>
        </w:pBdr>
        <w:spacing w:before="240"/>
      </w:pPr>
      <w:r>
        <w:rPr>
          <w:rFonts w:ascii="Times New Roman" w:eastAsia="SimSun"/>
          <w:color w:val="606060"/>
          <w:sz w:val="18"/>
          <w:szCs w:val="18"/>
        </w:rPr>
        <w:t xml:space="preserve">© 2026 chess-dynamics-lab · Individual exclusive license</w:t>
      </w:r>
    </w:p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Sun"/>
      <w:b/>
      <w:bCs/>
      <w:color w:val="000000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T12 — The State Space and the C1–C9 Protocol</dc:title>
  <dc:creator>Isaev Iskhak Khamzatovich</dc:creator>
  <dc:description>Theorem monograph T12 of the chess-dynamics-lab program — the consolidated protocol</dc:description>
  <cp:lastModifiedBy>Un-named</cp:lastModifiedBy>
  <cp:revision>1</cp:revision>
  <dcterms:created xsi:type="dcterms:W3CDTF">2026-09-29T21:58:05.456Z</dcterms:created>
  <dcterms:modified xsi:type="dcterms:W3CDTF">2026-09-29T21:58:05.456Z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