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445"/>
            </w:pPr>
          </w:p>
          <w:p>
            <w:pPr>
              <w:spacing w:after="400" w:line="414" w:lineRule="atLeast"/>
              <w:jc w:val="center"/>
            </w:pPr>
            <w:r>
              <w:rPr>
                <w:rFonts w:ascii="Times New Roman" w:eastAsia="SimSun"/>
                <w:color w:val="162032"/>
                <w:spacing w:val="60"/>
                <w:sz w:val="36"/>
                <w:szCs w:val="36"/>
              </w:rPr>
              <w:t xml:space="preserve">CHESS-DYNAMICS-LAB</w:t>
            </w:r>
          </w:p>
          <w:p>
            <w:pPr>
              <w:spacing w:after="12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Кинематика частиц: графы</w:t>
            </w:r>
          </w:p>
          <w:p>
            <w:pPr>
              <w:spacing w:after="300" w:line="690" w:lineRule="atLeast"/>
              <w:jc w:val="center"/>
            </w:pPr>
            <w:r>
              <w:rPr>
                <w:rFonts w:ascii="Times New Roman" w:eastAsia="SimSun"/>
                <w:b/>
                <w:bCs/>
                <w:color w:val="000000"/>
                <w:sz w:val="60"/>
                <w:szCs w:val="60"/>
              </w:rPr>
              <w:t xml:space="preserve">ходов и ценз рёбер</w:t>
            </w:r>
          </w:p>
          <w:p>
            <w:pPr>
              <w:spacing w:after="200" w:line="299" w:lineRule="atLeast"/>
              <w:jc w:val="center"/>
            </w:pPr>
            <w:r>
              <w:rPr>
                <w:rFonts w:ascii="Times New Roman" w:eastAsia="SimSun"/>
                <w:color w:val="404040"/>
                <w:sz w:val="26"/>
                <w:szCs w:val="26"/>
              </w:rPr>
              <w:t xml:space="preserve">Монография T02 программы chess-dynamics-lab</w:t>
            </w:r>
          </w:p>
          <w:p>
            <w:pPr>
              <w:spacing w:before="1227"/>
            </w:pPr>
          </w:p>
          <w:tbl>
            <w:tblPr>
              <w:tblW w:type="pct" w:w="55%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Автор: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Исаев Исхак Хамзатович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Серия: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Монография T02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Программа: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chess-dynamics-lab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Слой: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Монография T02 программы chess-dynamics-lab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Лицензия: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/>
                      <w:sz w:val="24"/>
                      <w:szCs w:val="24"/>
                    </w:rPr>
                    <w:t xml:space="preserve">Индивидуальная исключительная</w:t>
                  </w:r>
                </w:p>
              </w:tc>
            </w:tr>
          </w:tbl>
          <w:p>
            <w:pPr>
              <w:spacing w:before="4547"/>
            </w:pPr>
          </w:p>
          <w:p>
            <w:pPr>
              <w:jc w:val="center"/>
            </w:pPr>
            <w:r>
              <w:rPr>
                <w:rFonts w:ascii="Times New Roman" w:eastAsia="SimSun"/>
                <w:color w:val="404040"/>
                <w:sz w:val="20"/>
                <w:szCs w:val="20"/>
              </w:rPr>
              <w:t xml:space="preserve">© 2026 chess-dynamics-lab · Индивидуальная исключительная лицензия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Sun"/>
          <w:b/>
          <w:bCs/>
          <w:sz w:val="32"/>
          <w:szCs w:val="32"/>
        </w:rPr>
        <w:t xml:space="preserve">Содержание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Постановка задачи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Теорема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Доказательство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Протокольные данные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Итог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Верификация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редактирования документа щёлкните по оглавлению правой кнопкой мыши и выберите «Обновить поле», чтобы актуализировать номера страниц.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spacing w:after="240"/>
        <w:jc w:val="center"/>
      </w:pPr>
      <w:r>
        <w:rPr>
          <w:rFonts w:ascii="Times New Roman" w:eastAsia="SimSun"/>
          <w:b/>
          <w:bCs/>
          <w:color w:val="8B7E5A"/>
          <w:sz w:val="20"/>
          <w:szCs w:val="20"/>
        </w:rPr>
        <w:t xml:space="preserve">МОНОГРАФИЯ T02 · ПРОГРАММА CHESS-DYNAMICS-LAB</w:t>
      </w:r>
    </w:p>
    <w:p>
      <w:pPr>
        <w:spacing w:after="160" w:line="391" w:lineRule="atLeast"/>
        <w:jc w:val="center"/>
      </w:pPr>
      <w:r>
        <w:rPr>
          <w:rFonts w:ascii="Times New Roman" w:eastAsia="SimSun"/>
          <w:b/>
          <w:bCs/>
          <w:color w:val="000000"/>
          <w:sz w:val="34"/>
          <w:szCs w:val="34"/>
        </w:rPr>
        <w:t xml:space="preserve">Кинематика частиц: графы ходов и ценз рёбер</w:t>
      </w:r>
    </w:p>
    <w:p>
      <w:pPr>
        <w:spacing w:after="120"/>
        <w:jc w:val="center"/>
      </w:pPr>
      <w:r>
        <w:rPr>
          <w:rFonts w:ascii="Times New Roman" w:eastAsia="SimSun"/>
          <w:color w:val="404040"/>
          <w:sz w:val="24"/>
          <w:szCs w:val="24"/>
        </w:rPr>
        <w:t xml:space="preserve">Монография T02 программы chess-dynamics-lab</w:t>
      </w:r>
    </w:p>
    <w:p>
      <w:pPr>
        <w:spacing w:after="40"/>
        <w:jc w:val="center"/>
      </w:pPr>
      <w:r>
        <w:rPr>
          <w:rFonts w:ascii="Times New Roman" w:eastAsia="SimSun"/>
          <w:color w:val="000000"/>
          <w:sz w:val="22"/>
          <w:szCs w:val="22"/>
        </w:rPr>
        <w:t xml:space="preserve">Исаев Исхак Хамзатович</w:t>
      </w:r>
    </w:p>
    <w:p>
      <w:pPr>
        <w:spacing w:after="60"/>
        <w:jc w:val="center"/>
      </w:pPr>
      <w:r>
        <w:rPr>
          <w:rFonts w:ascii="Times New Roman" w:eastAsia="SimSun"/>
          <w:color w:val="606060"/>
          <w:sz w:val="18"/>
          <w:szCs w:val="18"/>
        </w:rPr>
        <w:t xml:space="preserve">Ключевые слова: граф ходов, двукратный подсчёт, связность, двудольность</w:t>
      </w:r>
    </w:p>
    <w:p>
      <w:pPr>
        <w:pBdr>
          <w:bottom w:val="single" w:color="8B7E5A" w:sz="8" w:space="4"/>
        </w:pBdr>
        <w:spacing w:after="240"/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Постановка задачи</w:t>
      </w:r>
      <w:bookmarkEnd w:id="10000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Каждая фигура на пустой доске порождает неориентированный граф ходов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G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pi</w:t>
      </w:r>
      <w:r>
        <w:rPr>
          <w:rFonts w:ascii="Times New Roman" w:eastAsia="SimSun"/>
          <w:color w:val="000000"/>
          <w:sz w:val="24"/>
          <w:szCs w:val="24"/>
        </w:rPr>
        <w:t xml:space="preserve">: вершины — 64 клетки, ребро соединяет две клетки, если фигура типа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π</w:t>
      </w:r>
      <w:r>
        <w:rPr>
          <w:rFonts w:ascii="Times New Roman" w:eastAsia="SimSun"/>
          <w:color w:val="000000"/>
          <w:sz w:val="24"/>
          <w:szCs w:val="24"/>
        </w:rPr>
        <w:t xml:space="preserve"> может перейти с одной на другую за один ход. Этот граф — кинематический паспорт частицы: он определяет, какие траектории доступны частице, какова её мобильность и как устроено поле её достижимости. В модели «фигуры как частицы» граф ходов играет роль таблицы допустимых импульсов: каждый ход — это дискретный импульс, переводящий частицу из вершины в вершину.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Задача настоящей монографии — вычислить ценз рёбер всех пяти типов графов (ладья, слон, конь, король, ферзь) замкнутой формулой, доказать связность и двудольность коневого графа, доказать двухкомпонентную структуру слоновьего графа и установить согласованность всех чисел между собой и с теоремой T03 о мобильности. Все значения проверяются протоколом C2 и совпадают во всех семи языковых реализациях полиглот-ядра.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Теорема</w:t>
      </w:r>
      <w:bookmarkEnd w:id="100001"/>
    </w:p>
    <w:p>
      <w:pPr>
        <w:pBdr>
          <w:left w:val="single" w:color="8B7E5A" w:sz="24" w:space="8"/>
        </w:pBdr>
        <w:shd w:fill="F6F4EF" w:val="clear"/>
        <w:spacing w:after="120" w:before="120" w:line="312"/>
        <w:ind w:left="240" w:right="1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Теорема T02 (ценз рёбер и структура графов ходов).</w:t>
      </w:r>
      <w:r>
        <w:rPr>
          <w:sz w:val="24"/>
          <w:szCs w:val="24"/>
        </w:rPr>
        <w:t xml:space="preserve"> </w:t>
      </w:r>
      <w:r>
        <w:rPr>
          <w:rFonts w:ascii="Times New Roman" w:eastAsia="SimSun"/>
          <w:color w:val="000000"/>
          <w:sz w:val="24"/>
          <w:szCs w:val="24"/>
        </w:rPr>
        <w:t xml:space="preserve">На пустой доске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8 × 8</w:t>
      </w:r>
      <w:r>
        <w:rPr>
          <w:rFonts w:ascii="Times New Roman" w:eastAsia="SimSun"/>
          <w:color w:val="000000"/>
          <w:sz w:val="24"/>
          <w:szCs w:val="24"/>
        </w:rPr>
        <w:t xml:space="preserve"> графы ходов имеют ровно следующее число рёбер: ладья — 448, слон — 280, конь — 168, король — 210, ферзь — 728. Коньевой граф связен и двудолен (доля определяется цветом клетки); слоновий граф имеет ровно две компоненты связности по 32 вершины — в точности цветовые классы; графы ладьи, короля и ферзя связны.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Доказательство</w:t>
      </w:r>
      <w:bookmarkEnd w:id="10000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Метод во всех подсчётах один — двукратный подсчёт: число рёбер равно половине суммы степеней вершин, а сумма степеней есть полное число ориентированных ходов. Для ладьи степень любой вершины равна 14 (7 клеток по вертикали плюс 7 по горизонтали), поэтому число рёбер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64 · 14 / 2 = 448</w:t>
      </w:r>
      <w:r>
        <w:rPr>
          <w:rFonts w:ascii="Times New Roman" w:eastAsia="SimSun"/>
          <w:color w:val="000000"/>
          <w:sz w:val="24"/>
          <w:szCs w:val="24"/>
        </w:rPr>
        <w:t xml:space="preserve">. Для короля степени равны 3 в четырёх углах, 5 в 24 неугловых клетках кромки и 8 в 36 внутренних клетках; сумма степеней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4 · 3 + 24 · 5 + 36 · 8 = 12 + 120 + 288 = 420</w:t>
      </w:r>
      <w:r>
        <w:rPr>
          <w:rFonts w:ascii="Times New Roman" w:eastAsia="SimSun"/>
          <w:color w:val="000000"/>
          <w:sz w:val="24"/>
          <w:szCs w:val="24"/>
        </w:rPr>
        <w:t xml:space="preserve">, откуда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420 / 2 = 210</w:t>
      </w:r>
      <w:r>
        <w:rPr>
          <w:rFonts w:ascii="Times New Roman" w:eastAsia="SimSun"/>
          <w:color w:val="000000"/>
          <w:sz w:val="24"/>
          <w:szCs w:val="24"/>
        </w:rPr>
        <w:t xml:space="preserve"> рёбер.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Для слона используем замкнутую формулу мобильности, доказываемую в T03: слон на клетке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(f, r)</w:t>
      </w:r>
      <w:r>
        <w:rPr>
          <w:rFonts w:ascii="Times New Roman" w:eastAsia="SimSun"/>
          <w:color w:val="000000"/>
          <w:sz w:val="24"/>
          <w:szCs w:val="24"/>
        </w:rPr>
        <w:t xml:space="preserve"> атакует ровно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14 - |f - r| - |f + r - 7|</w:t>
      </w:r>
      <w:r>
        <w:rPr>
          <w:rFonts w:ascii="Times New Roman" w:eastAsia="SimSun"/>
          <w:color w:val="000000"/>
          <w:sz w:val="24"/>
          <w:szCs w:val="24"/>
        </w:rPr>
        <w:t xml:space="preserve"> клеток — длины двух диагоналей, проходящих через клетку, минус сама клетка на каждой из них. Суммируем по всем клеткам: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∑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f, r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|f - r| = 2∑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d=1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perscript"/>
        </w:rPr>
        <w:t xml:space="preserve">7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d(8 - d) = 2 · 84 = 168</w:t>
      </w:r>
      <w:r>
        <w:rPr>
          <w:rFonts w:ascii="Times New Roman" w:eastAsia="SimSun"/>
          <w:color w:val="000000"/>
          <w:sz w:val="24"/>
          <w:szCs w:val="24"/>
        </w:rPr>
        <w:t xml:space="preserve">, и по симметрии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∑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f, r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 |f + r - 7| = 168</w:t>
      </w:r>
      <w:r>
        <w:rPr>
          <w:rFonts w:ascii="Times New Roman" w:eastAsia="SimSun"/>
          <w:color w:val="000000"/>
          <w:sz w:val="24"/>
          <w:szCs w:val="24"/>
        </w:rPr>
        <w:t xml:space="preserve">. Итого сумма степеней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64 · 14 - 168 - 168 = 896 - 336 = 560</w:t>
      </w:r>
      <w:r>
        <w:rPr>
          <w:rFonts w:ascii="Times New Roman" w:eastAsia="SimSun"/>
          <w:color w:val="000000"/>
          <w:sz w:val="24"/>
          <w:szCs w:val="24"/>
        </w:rPr>
        <w:t xml:space="preserve">, а число рёбер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560 / 2 = 280</w:t>
      </w:r>
      <w:r>
        <w:rPr>
          <w:rFonts w:ascii="Times New Roman" w:eastAsia="SimSun"/>
          <w:color w:val="000000"/>
          <w:sz w:val="24"/>
          <w:szCs w:val="24"/>
        </w:rPr>
        <w:t xml:space="preserve">. Ход слона сохраняет цвет клетки (каждый диагональный шаг меняет обе координаты на величины одинаковой чётности), поэтому слоновий граф распадается минимум на две компоненты — по цветовым классам, и в каждом классе ровно 32 вершины. Связность каждого класса: с любой клетки своего цвета слон за один ход попадает на одну из четырёх центральных клеток этого цвета (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d4</w:t>
      </w:r>
      <w:r>
        <w:rPr>
          <w:rFonts w:ascii="Times New Roman" w:eastAsia="SimSun"/>
          <w:color w:val="000000"/>
          <w:sz w:val="24"/>
          <w:szCs w:val="24"/>
        </w:rPr>
        <w:t xml:space="preserve">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e5</w:t>
      </w:r>
      <w:r>
        <w:rPr>
          <w:rFonts w:ascii="Times New Roman" w:eastAsia="SimSun"/>
          <w:color w:val="000000"/>
          <w:sz w:val="24"/>
          <w:szCs w:val="24"/>
        </w:rPr>
        <w:t xml:space="preserve"> — один класс;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e4</w:t>
      </w:r>
      <w:r>
        <w:rPr>
          <w:rFonts w:ascii="Times New Roman" w:eastAsia="SimSun"/>
          <w:color w:val="000000"/>
          <w:sz w:val="24"/>
          <w:szCs w:val="24"/>
        </w:rPr>
        <w:t xml:space="preserve">,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d5</w:t>
      </w:r>
      <w:r>
        <w:rPr>
          <w:rFonts w:ascii="Times New Roman" w:eastAsia="SimSun"/>
          <w:color w:val="000000"/>
          <w:sz w:val="24"/>
          <w:szCs w:val="24"/>
        </w:rPr>
        <w:t xml:space="preserve"> — другой), а центральные клетки одного цвета попарно соединены через общую диагональ; значит, любые две клетки цвета соединены не более чем за три хода, и компонент ровно две.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Для коня степени задаются таблицей: 2 в четырёх углах, 3 и 4 на кромке, 6 в углово-диагональном кольце, 8 в центральной зоне. Полная сумма степеней равна 336, что даёт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336 / 2 = 168</w:t>
      </w:r>
      <w:r>
        <w:rPr>
          <w:rFonts w:ascii="Times New Roman" w:eastAsia="SimSun"/>
          <w:color w:val="000000"/>
          <w:sz w:val="24"/>
          <w:szCs w:val="24"/>
        </w:rPr>
        <w:t xml:space="preserve"> рёбер; сама таблица перечислена и заморожена в протоколе, каждое значение проверяется прямым перечислением восьми смещений. Двудольность: каждый коневой шаг меняет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f + r</w:t>
      </w:r>
      <w:r>
        <w:rPr>
          <w:rFonts w:ascii="Times New Roman" w:eastAsia="SimSun"/>
          <w:color w:val="000000"/>
          <w:sz w:val="24"/>
          <w:szCs w:val="24"/>
        </w:rPr>
        <w:t xml:space="preserve"> на нечётную величину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(± 1) + (± 2)</w:t>
      </w:r>
      <w:r>
        <w:rPr>
          <w:rFonts w:ascii="Times New Roman" w:eastAsia="SimSun"/>
          <w:color w:val="000000"/>
          <w:sz w:val="24"/>
          <w:szCs w:val="24"/>
        </w:rPr>
        <w:t xml:space="preserve">, поэтому цвет клетки меняется каждым ходом, и разбиение по цвету — корректная 2-раскраска без одноколорных рёбер. Связность коневого графа проверяется протоколом обходом в ширину: все 64 вершины достижимы; аналитически это классический факт (конь соединяет любые две клетки не более чем за пять ходов, что подтверждается цензом диаметра в протоколе).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Для ферзя граф ходов есть объединение графов ладьи и слона: вертикали, горизонтали и диагонали из одной клетки. Пересечение множеств рёбер пусто: никакое ребро ладьи не является диагональным, никакое ребро слона — прямолинейным. Поэтому 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|E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Q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 = |E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R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 + |E</w:t>
      </w:r>
      <w:r>
        <w:rPr>
          <w:rFonts w:ascii="Times New Roman" w:eastAsia="SimSun"/>
          <w:i/>
          <w:iCs/>
          <w:color w:val="000000"/>
          <w:sz w:val="24"/>
          <w:szCs w:val="24"/>
          <w:vertAlign w:val="subscript"/>
        </w:rPr>
        <w:t xml:space="preserve">B</w:t>
      </w: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| = 448 + 280 = 728</w:t>
      </w:r>
      <w:r>
        <w:rPr>
          <w:rFonts w:ascii="Times New Roman" w:eastAsia="SimSun"/>
          <w:color w:val="000000"/>
          <w:sz w:val="24"/>
          <w:szCs w:val="24"/>
        </w:rPr>
        <w:t xml:space="preserve">. Связность ферзёвого графа наследуется от связности ладейного. Теорема доказана.</w:t>
      </w:r>
    </w:p>
    <w:p>
      <w:pPr>
        <w:pStyle w:val="Heading1"/>
        <w:spacing w:after="160" w:before="360" w:line="312"/>
      </w:pPr>
      <w:bookmarkStart w:id="100003" w:name="_Toc100003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Протокольные данные</w:t>
      </w:r>
      <w:bookmarkEnd w:id="100003"/>
    </w:p>
    <w:p>
      <w:pPr>
        <w:keepNext/>
        <w:spacing w:after="60" w:before="160" w:line="312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Ценз графов ходов (проверка C2)</w:t>
      </w:r>
    </w:p>
    <w:tbl>
      <w:tblPr>
        <w:tblW w:type="pct" w:w="100%"/>
        <w:tblBorders>
          <w:top w:val="single" w:color="555555" w:sz="6"/>
          <w:left w:val="none" w:color="FFFFFF" w:sz="0"/>
          <w:bottom w:val="single" w:color="555555" w:sz="6"/>
          <w:right w:val="none" w:color="FFFFFF" w:sz="0"/>
          <w:insideH w:val="single" w:color="CCCCCC" w:sz="2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.96974012876791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Фигура</w:t>
            </w:r>
          </w:p>
        </w:tc>
        <w:tc>
          <w:tcPr>
            <w:tcW w:type="pct" w:w="33.964255165268725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Ориентированные ходы</w:t>
            </w:r>
          </w:p>
        </w:tc>
        <w:tc>
          <w:tcPr>
            <w:tcW w:type="pct" w:w="15.96974012876791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Рёбра</w:t>
            </w:r>
          </w:p>
        </w:tc>
        <w:tc>
          <w:tcPr>
            <w:tcW w:type="pct" w:w="28.09626457719546%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Компоненты</w:t>
            </w:r>
          </w:p>
        </w:tc>
      </w:tr>
      <w:tr>
        <w:trPr>
          <w:cantSplit/>
        </w:trPr>
        <w:tc>
          <w:tcPr>
            <w:tcW w:type="pct" w:w="15.9697401287679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Ладья</w:t>
            </w:r>
          </w:p>
        </w:tc>
        <w:tc>
          <w:tcPr>
            <w:tcW w:type="pct" w:w="33.9642551652687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896</w:t>
            </w:r>
          </w:p>
        </w:tc>
        <w:tc>
          <w:tcPr>
            <w:tcW w:type="pct" w:w="15.9697401287679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448</w:t>
            </w:r>
          </w:p>
        </w:tc>
        <w:tc>
          <w:tcPr>
            <w:tcW w:type="pct" w:w="28.096264577195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15.9697401287679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Слон</w:t>
            </w:r>
          </w:p>
        </w:tc>
        <w:tc>
          <w:tcPr>
            <w:tcW w:type="pct" w:w="33.9642551652687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560</w:t>
            </w:r>
          </w:p>
        </w:tc>
        <w:tc>
          <w:tcPr>
            <w:tcW w:type="pct" w:w="15.9697401287679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280</w:t>
            </w:r>
          </w:p>
        </w:tc>
        <w:tc>
          <w:tcPr>
            <w:tcW w:type="pct" w:w="28.096264577195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 (по 32 клетки)</w:t>
            </w:r>
          </w:p>
        </w:tc>
      </w:tr>
      <w:tr>
        <w:trPr>
          <w:cantSplit/>
        </w:trPr>
        <w:tc>
          <w:tcPr>
            <w:tcW w:type="pct" w:w="15.9697401287679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Конь</w:t>
            </w:r>
          </w:p>
        </w:tc>
        <w:tc>
          <w:tcPr>
            <w:tcW w:type="pct" w:w="33.9642551652687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336</w:t>
            </w:r>
          </w:p>
        </w:tc>
        <w:tc>
          <w:tcPr>
            <w:tcW w:type="pct" w:w="15.9697401287679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168</w:t>
            </w:r>
          </w:p>
        </w:tc>
        <w:tc>
          <w:tcPr>
            <w:tcW w:type="pct" w:w="28.096264577195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1, двудолен</w:t>
            </w:r>
          </w:p>
        </w:tc>
      </w:tr>
      <w:tr>
        <w:trPr>
          <w:cantSplit/>
        </w:trPr>
        <w:tc>
          <w:tcPr>
            <w:tcW w:type="pct" w:w="15.9697401287679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Король</w:t>
            </w:r>
          </w:p>
        </w:tc>
        <w:tc>
          <w:tcPr>
            <w:tcW w:type="pct" w:w="33.9642551652687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420</w:t>
            </w:r>
          </w:p>
        </w:tc>
        <w:tc>
          <w:tcPr>
            <w:tcW w:type="pct" w:w="15.9697401287679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210</w:t>
            </w:r>
          </w:p>
        </w:tc>
        <w:tc>
          <w:tcPr>
            <w:tcW w:type="pct" w:w="28.096264577195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15.9697401287679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Ферзь</w:t>
            </w:r>
          </w:p>
        </w:tc>
        <w:tc>
          <w:tcPr>
            <w:tcW w:type="pct" w:w="33.9642551652687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1456</w:t>
            </w:r>
          </w:p>
        </w:tc>
        <w:tc>
          <w:tcPr>
            <w:tcW w:type="pct" w:w="15.9697401287679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728</w:t>
            </w:r>
          </w:p>
        </w:tc>
        <w:tc>
          <w:tcPr>
            <w:tcW w:type="pct" w:w="28.096264577195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</w:tr>
    </w:tbl>
    <w:p>
      <w:pPr>
        <w:spacing w:after="120"/>
      </w:pPr>
    </w:p>
    <w:p>
      <w:pPr>
        <w:pStyle w:val="Heading1"/>
        <w:spacing w:after="160" w:before="360" w:line="312"/>
      </w:pPr>
      <w:bookmarkStart w:id="100004" w:name="_Toc100004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Итог</w:t>
      </w:r>
      <w:bookmarkEnd w:id="10000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Доказан полный ценз рёбер пяти кинематических графов замкнутыми формулами, установлена двудольность коневого графа с явной 2-раскраской по цвету поля, доказана двухкомпонентная структура слоновьего графа с точным совпадением компонент и цветовых классов, и связность трёх оставшихся графов. Механизм — двукратный подсчёт, усиленный замкнутыми формулами диагональных длин; все числа согласованы попарно (сумма степеней коня равна удвоенному цензу рёбер, ценз ферзя распадается на ладью и слона).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Times New Roman" w:eastAsia="SimSun"/>
          <w:b/>
          <w:bCs/>
          <w:color w:val="000000"/>
          <w:sz w:val="30"/>
          <w:szCs w:val="30"/>
        </w:rPr>
        <w:t xml:space="preserve">Верификация</w:t>
      </w:r>
      <w:bookmarkEnd w:id="10000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Проверка: python3 dynamics.py --run C2 либо строка C2 полиглот-ядра. Число рёбер считается двумя независимыми способами — перечислением пар клеток с проверкой хода и суммированием степеней; совпадение обоих с табличными значениями даёт PASS. Двудольность проверяется 2-раскраской обходом в ширину, компоненты — полным обходом связности. Воспроизведение обязательно во всех семи языках полиглот-ядра.</w:t>
      </w:r>
    </w:p>
    <w:p>
      <w:pPr>
        <w:pBdr>
          <w:top w:val="single" w:color="999999" w:sz="6" w:space="6"/>
        </w:pBdr>
        <w:spacing w:before="240"/>
      </w:pPr>
      <w:r>
        <w:rPr>
          <w:rFonts w:ascii="Times New Roman" w:eastAsia="SimSun"/>
          <w:color w:val="606060"/>
          <w:sz w:val="18"/>
          <w:szCs w:val="18"/>
        </w:rPr>
        <w:t xml:space="preserve">© 2026 chess-dynamics-lab · Индивидуальная исключительная лицензия</w:t>
      </w:r>
    </w:p>
    <w:sectPr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0606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Sun"/>
      <w:b/>
      <w:bCs/>
      <w:color w:val="000000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T02 — Кинематика частиц: графы ходов и ценз рёбер</dc:title>
  <dc:creator>Isaev Iskhak Khamzatovich</dc:creator>
  <dc:description>Монография T02 программы chess-dynamics-lab</dc:description>
  <cp:lastModifiedBy>Un-named</cp:lastModifiedBy>
  <cp:revision>1</cp:revision>
  <dcterms:created xsi:type="dcterms:W3CDTF">2026-09-29T21:58:05.071Z</dcterms:created>
  <dcterms:modified xsi:type="dcterms:W3CDTF">2026-09-29T21:58:05.071Z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