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196"/>
            </w:pPr>
          </w:p>
          <w:p>
            <w:pPr>
              <w:spacing w:after="400" w:line="414" w:lineRule="atLeast"/>
              <w:jc w:val="center"/>
            </w:pPr>
            <w:r>
              <w:rPr>
                <w:rFonts w:ascii="Times New Roman" w:eastAsia="SimSun"/>
                <w:color w:val="162032"/>
                <w:spacing w:val="60"/>
                <w:sz w:val="36"/>
                <w:szCs w:val="36"/>
              </w:rPr>
              <w:t xml:space="preserve">CHESS-DYNAMICS-LAB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Поля угроз: аддитивность,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эквивариантность и</w:t>
            </w:r>
          </w:p>
          <w:p>
            <w:pPr>
              <w:spacing w:after="30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пешечная аномалия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/>
                <w:color w:val="404040"/>
                <w:sz w:val="26"/>
                <w:szCs w:val="26"/>
              </w:rPr>
              <w:t xml:space="preserve">Монография T04 программы chess-dynamics-lab — слой K3</w:t>
            </w:r>
          </w:p>
          <w:p>
            <w:pPr>
              <w:spacing w:before="1067"/>
            </w:pPr>
          </w:p>
          <w:tbl>
            <w:tblPr>
              <w:tblW w:type="pct" w:w="55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Исаев Исхак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Монография T04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Программа: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Слой: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слой K3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Лицензия: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Индивидуальная исключительная</w:t>
                  </w:r>
                </w:p>
              </w:tc>
            </w:tr>
          </w:tbl>
          <w:p>
            <w:pPr>
              <w:spacing w:before="4066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0"/>
                <w:szCs w:val="20"/>
              </w:rPr>
              <w:t xml:space="preserve">© 2026 chess-dynamics-lab · Индивидуальная исключительная лицензия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Sun"/>
          <w:b/>
          <w:bCs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Теорема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Доказательство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Протокольные данные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Итог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Верификация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актуализировать номера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240"/>
        <w:jc w:val="center"/>
      </w:pPr>
      <w:r>
        <w:rPr>
          <w:rFonts w:ascii="Times New Roman" w:eastAsia="SimSun"/>
          <w:b/>
          <w:bCs/>
          <w:color w:val="8B7E5A"/>
          <w:sz w:val="20"/>
          <w:szCs w:val="20"/>
        </w:rPr>
        <w:t xml:space="preserve">МОНОГРАФИЯ T04 · ПРОГРАММА CHESS-DYNAMICS-LAB</w:t>
      </w:r>
    </w:p>
    <w:p>
      <w:pPr>
        <w:spacing w:after="160" w:line="391" w:lineRule="atLeast"/>
        <w:jc w:val="center"/>
      </w:pPr>
      <w:r>
        <w:rPr>
          <w:rFonts w:ascii="Times New Roman" w:eastAsia="SimSun"/>
          <w:b/>
          <w:bCs/>
          <w:color w:val="000000"/>
          <w:sz w:val="34"/>
          <w:szCs w:val="34"/>
        </w:rPr>
        <w:t xml:space="preserve">Поля угроз: аддитивность, эквивариантность и пешечная аномалия</w:t>
      </w:r>
    </w:p>
    <w:p>
      <w:pPr>
        <w:spacing w:after="120"/>
        <w:jc w:val="center"/>
      </w:pPr>
      <w:r>
        <w:rPr>
          <w:rFonts w:ascii="Times New Roman" w:eastAsia="SimSun"/>
          <w:color w:val="404040"/>
          <w:sz w:val="24"/>
          <w:szCs w:val="24"/>
        </w:rPr>
        <w:t xml:space="preserve">Монография T04 программы chess-dynamics-lab — слой K3</w:t>
      </w:r>
    </w:p>
    <w:p>
      <w:pPr>
        <w:spacing w:after="40"/>
        <w:jc w:val="center"/>
      </w:pPr>
      <w:r>
        <w:rPr>
          <w:rFonts w:ascii="Times New Roman" w:eastAsia="SimSun"/>
          <w:color w:val="000000"/>
          <w:sz w:val="22"/>
          <w:szCs w:val="22"/>
        </w:rPr>
        <w:t xml:space="preserve">Исаев Исхак Хамзатович</w:t>
      </w:r>
    </w:p>
    <w:p>
      <w:pPr>
        <w:spacing w:after="60"/>
        <w:jc w:val="center"/>
      </w:pPr>
      <w:r>
        <w:rPr>
          <w:rFonts w:ascii="Times New Roman" w:eastAsia="SimSun"/>
          <w:color w:val="606060"/>
          <w:sz w:val="18"/>
          <w:szCs w:val="18"/>
        </w:rPr>
        <w:t xml:space="preserve">Ключевые слова: поле угроз, аддитивность, эквивариантность, аномалия</w:t>
      </w:r>
    </w:p>
    <w:p>
      <w:pPr>
        <w:pBdr>
          <w:bottom w:val="single" w:color="8B7E5A" w:sz="8" w:space="4"/>
        </w:pBdr>
        <w:spacing w:after="240"/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Постановка задачи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Слой K3 нашей трёхслойной модели частиц — потенциальный слой: каждая фигура-частица излучает на доске поле угрозы, а полная конфигурация задаёт суммарное поле. Поле угрозы — это функция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s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(c)</w:t>
      </w:r>
      <w:r>
        <w:rPr>
          <w:rFonts w:ascii="Times New Roman" w:eastAsia="SimSun"/>
          <w:color w:val="000000"/>
          <w:sz w:val="24"/>
          <w:szCs w:val="24"/>
        </w:rPr>
        <w:t xml:space="preserve">, равная числу частиц стороны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, атакующих клетку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/>
          <w:color w:val="000000"/>
          <w:sz w:val="24"/>
          <w:szCs w:val="24"/>
        </w:rPr>
        <w:t xml:space="preserve">. Это дискретный аналог потенциала, создаваемого системой источников; его структура определяет защитные связи, давление и энергию позиции.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Задача монографии — доказать три фундаментальных свойства поля: аддитивность (полная масса поля равна сумме мобильностей частиц — тождество атаки), эквивариантность относительно группы доски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для ориентационно-нейтральных фигур, и точную величину пешечной аномалии — нарушения эквивариантности, которое вносят ориентированные частицы (пешки, атакующие только вперёд). Все три свойства проверяются протоколом C6.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Теорема</w:t>
      </w:r>
      <w:bookmarkEnd w:id="100001"/>
    </w:p>
    <w:p>
      <w:pPr>
        <w:pBdr>
          <w:left w:val="single" w:color="8B7E5A" w:sz="24" w:space="8"/>
        </w:pBdr>
        <w:shd w:fill="F6F4EF" w:val="clear"/>
        <w:spacing w:after="120" w:before="120" w:line="312"/>
        <w:ind w:left="240" w:right="1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Теорема T04 (структура поля угроз).</w:t>
      </w:r>
      <w:r>
        <w:rPr>
          <w:sz w:val="24"/>
          <w:szCs w:val="24"/>
        </w:rPr>
        <w:t xml:space="preserve"> </w:t>
      </w:r>
      <w:r>
        <w:rPr>
          <w:rFonts w:ascii="Times New Roman" w:eastAsia="SimSun"/>
          <w:color w:val="000000"/>
          <w:sz w:val="24"/>
          <w:szCs w:val="24"/>
        </w:rPr>
        <w:t xml:space="preserve">(i) Тождество атаки: для любой позиции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 и стороны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c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s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(c) =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π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a(π)</w:t>
      </w:r>
      <w:r>
        <w:rPr>
          <w:rFonts w:ascii="Times New Roman" w:eastAsia="SimSun"/>
          <w:color w:val="000000"/>
          <w:sz w:val="24"/>
          <w:szCs w:val="24"/>
        </w:rPr>
        <w:t xml:space="preserve">, где сумма справа берётся по частицам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π</w:t>
      </w:r>
      <w:r>
        <w:rPr>
          <w:rFonts w:ascii="Times New Roman" w:eastAsia="SimSun"/>
          <w:color w:val="000000"/>
          <w:sz w:val="24"/>
          <w:szCs w:val="24"/>
        </w:rPr>
        <w:t xml:space="preserve"> стороны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, 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a(π)</w:t>
      </w:r>
      <w:r>
        <w:rPr>
          <w:rFonts w:ascii="Times New Roman" w:eastAsia="SimSun"/>
          <w:color w:val="000000"/>
          <w:sz w:val="24"/>
          <w:szCs w:val="24"/>
        </w:rPr>
        <w:t xml:space="preserve"> — число клеток, атакуемых частицей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π</w:t>
      </w:r>
      <w:r>
        <w:rPr>
          <w:rFonts w:ascii="Times New Roman" w:eastAsia="SimSun"/>
          <w:color w:val="000000"/>
          <w:sz w:val="24"/>
          <w:szCs w:val="24"/>
        </w:rPr>
        <w:t xml:space="preserve">. (ii) Для позиций без пешек поле угрозы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-эквивариантно: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g · p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(g · c) = 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(c)</w:t>
      </w:r>
      <w:r>
        <w:rPr>
          <w:rFonts w:ascii="Times New Roman" w:eastAsia="SimSun"/>
          <w:color w:val="000000"/>
          <w:sz w:val="24"/>
          <w:szCs w:val="24"/>
        </w:rPr>
        <w:t xml:space="preserve"> для всех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g ∈ 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и всех клеток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/>
          <w:color w:val="000000"/>
          <w:sz w:val="24"/>
          <w:szCs w:val="24"/>
        </w:rPr>
        <w:t xml:space="preserve">. (iii) В начальной позиции полная пешечная аномалия (число пар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(g, c)</w:t>
      </w:r>
      <w:r>
        <w:rPr>
          <w:rFonts w:ascii="Times New Roman" w:eastAsia="SimSun"/>
          <w:color w:val="000000"/>
          <w:sz w:val="24"/>
          <w:szCs w:val="24"/>
        </w:rPr>
        <w:t xml:space="preserve"> с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g · p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(g · c) ≠ 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(c)</w:t>
      </w:r>
      <w:r>
        <w:rPr>
          <w:rFonts w:ascii="Times New Roman" w:eastAsia="SimSun"/>
          <w:color w:val="000000"/>
          <w:sz w:val="24"/>
          <w:szCs w:val="24"/>
        </w:rPr>
        <w:t xml:space="preserve"> по обеим сторонам) равна в точности 176.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Доказательство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(i) Тождество атаки — это перестановка порядка суммирования в конечном случае (дискретная теорема Фубини). Поле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s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(c)</w:t>
      </w:r>
      <w:r>
        <w:rPr>
          <w:rFonts w:ascii="Times New Roman" w:eastAsia="SimSun"/>
          <w:color w:val="000000"/>
          <w:sz w:val="24"/>
          <w:szCs w:val="24"/>
        </w:rPr>
        <w:t xml:space="preserve"> по определению равно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π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[c ∈ A(π)]</w:t>
      </w:r>
      <w:r>
        <w:rPr>
          <w:rFonts w:ascii="Times New Roman" w:eastAsia="SimSun"/>
          <w:color w:val="000000"/>
          <w:sz w:val="24"/>
          <w:szCs w:val="24"/>
        </w:rPr>
        <w:t xml:space="preserve">, где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A(π)</w:t>
      </w:r>
      <w:r>
        <w:rPr>
          <w:rFonts w:ascii="Times New Roman" w:eastAsia="SimSun"/>
          <w:color w:val="000000"/>
          <w:sz w:val="24"/>
          <w:szCs w:val="24"/>
        </w:rPr>
        <w:t xml:space="preserve"> — множество атакуемых клеток частицы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π</w:t>
      </w:r>
      <w:r>
        <w:rPr>
          <w:rFonts w:ascii="Times New Roman" w:eastAsia="SimSun"/>
          <w:color w:val="000000"/>
          <w:sz w:val="24"/>
          <w:szCs w:val="24"/>
        </w:rPr>
        <w:t xml:space="preserve">, 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[·]</w:t>
      </w:r>
      <w:r>
        <w:rPr>
          <w:rFonts w:ascii="Times New Roman" w:eastAsia="SimSun"/>
          <w:color w:val="000000"/>
          <w:sz w:val="24"/>
          <w:szCs w:val="24"/>
        </w:rPr>
        <w:t xml:space="preserve"> — индикатор. Суммируя по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/>
          <w:color w:val="000000"/>
          <w:sz w:val="24"/>
          <w:szCs w:val="24"/>
        </w:rPr>
        <w:t xml:space="preserve">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c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s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(c) =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c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π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[c ∈ A(π)] =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π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c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[c ∈ A(π)] =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π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|A(π)| =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π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a(π)</w:t>
      </w:r>
      <w:r>
        <w:rPr>
          <w:rFonts w:ascii="Times New Roman" w:eastAsia="SimSun"/>
          <w:color w:val="000000"/>
          <w:sz w:val="24"/>
          <w:szCs w:val="24"/>
        </w:rPr>
        <w:t xml:space="preserve">. В начальной позиции каждая сторона несёт массу поля 38: точный подсчёт по правилу блокировки даёт это значение и проверяется протоколом. Тождество гарантирует эквивалентность двух способов подсчёта: по клеткам и по частицам.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(ii) Эквивариантность. Ключевое наблюдение: отношение атаки определяется относительной геометрией клеток — принадлежностью одной вертикали, горизонтали или диагонали с промежуточной блокировкой, либо фиксированным смещением для коня, либо соседством для короля. Все эти отношения инвариантны относительно любого изометрического преобразования доски: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g</w:t>
      </w:r>
      <w:r>
        <w:rPr>
          <w:rFonts w:ascii="Times New Roman" w:eastAsia="SimSun"/>
          <w:color w:val="000000"/>
          <w:sz w:val="24"/>
          <w:szCs w:val="24"/>
        </w:rPr>
        <w:t xml:space="preserve"> переводит линию в линию, сохраняет промежуточность («лежать между») и переводит множество смещений коня в себя (множество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{(± 1, ± 2), (± 2, ± 1)}</w:t>
      </w:r>
      <w:r>
        <w:rPr>
          <w:rFonts w:ascii="Times New Roman" w:eastAsia="SimSun"/>
          <w:color w:val="000000"/>
          <w:sz w:val="24"/>
          <w:szCs w:val="24"/>
        </w:rPr>
        <w:t xml:space="preserve"> инвариантно относительно всех восьми преобразований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— прямая проверка восьми случаев). Формально, для конфигурации без пешек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g · p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(g · c) =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π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[g · c ∈ A(g · π)] =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π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[c ∈ A(π)] = 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(c)</w:t>
      </w:r>
      <w:r>
        <w:rPr>
          <w:rFonts w:ascii="Times New Roman" w:eastAsia="SimSun"/>
          <w:color w:val="000000"/>
          <w:sz w:val="24"/>
          <w:szCs w:val="24"/>
        </w:rPr>
        <w:t xml:space="preserve">, где среднее равенство — инвариантность отношения атаки. Блокировка также переносится: клетка лежит между двумя другими тогда и только тогда, когда её образ лежит между образами.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(iii) Пешечная аномалия. Белая пешка атакует строго «вперёд» — на клетки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(f ± 1, r + 1)</w:t>
      </w:r>
      <w:r>
        <w:rPr>
          <w:rFonts w:ascii="Times New Roman" w:eastAsia="SimSun"/>
          <w:color w:val="000000"/>
          <w:sz w:val="24"/>
          <w:szCs w:val="24"/>
        </w:rPr>
        <w:t xml:space="preserve">; направление задаётся цветом стороны, а не геометрией доски. Ни один неединичный элемент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не сохраняет направление «вперёд для белых»: повороты и отражения переводят вертикальное направление в другое либо меняют его знак. Поэтому для позиций с пешками эквивариантность нарушается, и величина нарушения — конечное, точно вычислимое число. В начальной позиции прямой перебор всех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× 64 = 512</w:t>
      </w:r>
      <w:r>
        <w:rPr>
          <w:rFonts w:ascii="Times New Roman" w:eastAsia="SimSun"/>
          <w:color w:val="000000"/>
          <w:sz w:val="24"/>
          <w:szCs w:val="24"/>
        </w:rPr>
        <w:t xml:space="preserve"> пар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(g, c)</w:t>
      </w:r>
      <w:r>
        <w:rPr>
          <w:rFonts w:ascii="Times New Roman" w:eastAsia="SimSun"/>
          <w:color w:val="000000"/>
          <w:sz w:val="24"/>
          <w:szCs w:val="24"/>
        </w:rPr>
        <w:t xml:space="preserve"> для каждой стороны даёт по 88 нарушений на сторону, итого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88 + 88 = 176</w:t>
      </w:r>
      <w:r>
        <w:rPr>
          <w:rFonts w:ascii="Times New Roman" w:eastAsia="SimSun"/>
          <w:color w:val="000000"/>
          <w:sz w:val="24"/>
          <w:szCs w:val="24"/>
        </w:rPr>
        <w:t xml:space="preserve">; это число заморожено в базлайне и воспроизводится протоколом. Аномалия ненулевая, но конечная и структурная: она показывает, что пешка — «ориентированная частица», нарушающая симметрию фона. Теорема доказана.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Протокольные данные</w:t>
      </w:r>
      <w:bookmarkEnd w:id="100003"/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Поле угроз (проверка C6)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6.3694278315408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Величина</w:t>
            </w:r>
          </w:p>
        </w:tc>
        <w:tc>
          <w:tcPr>
            <w:tcW w:type="pct" w:w="37.63057216845912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56.3694278315408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Масса поля белых, начальная позиция</w:t>
            </w:r>
          </w:p>
        </w:tc>
        <w:tc>
          <w:tcPr>
            <w:tcW w:type="pct" w:w="37.630572168459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38</w:t>
            </w:r>
          </w:p>
        </w:tc>
      </w:tr>
      <w:tr>
        <w:trPr>
          <w:cantSplit/>
        </w:trPr>
        <w:tc>
          <w:tcPr>
            <w:tcW w:type="pct" w:w="56.3694278315408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Масса поля чёрных, начальная позиция</w:t>
            </w:r>
          </w:p>
        </w:tc>
        <w:tc>
          <w:tcPr>
            <w:tcW w:type="pct" w:w="37.630572168459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38</w:t>
            </w:r>
          </w:p>
        </w:tc>
      </w:tr>
      <w:tr>
        <w:trPr>
          <w:cantSplit/>
        </w:trPr>
        <w:tc>
          <w:tcPr>
            <w:tcW w:type="pct" w:w="56.3694278315408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Тождество атаки</w:t>
            </w:r>
          </w:p>
        </w:tc>
        <w:tc>
          <w:tcPr>
            <w:tcW w:type="pct" w:w="37.630572168459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выполнено (обе стороны)</w:t>
            </w:r>
          </w:p>
        </w:tc>
      </w:tr>
      <w:tr>
        <w:trPr>
          <w:cantSplit/>
        </w:trPr>
        <w:tc>
          <w:tcPr>
            <w:tcW w:type="pct" w:w="56.3694278315408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Нарушения эквивариантности, без пешек</w:t>
            </w:r>
          </w:p>
        </w:tc>
        <w:tc>
          <w:tcPr>
            <w:tcW w:type="pct" w:w="37.630572168459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 / 0 (белые/чёрные)</w:t>
            </w:r>
          </w:p>
        </w:tc>
      </w:tr>
      <w:tr>
        <w:trPr>
          <w:cantSplit/>
        </w:trPr>
        <w:tc>
          <w:tcPr>
            <w:tcW w:type="pct" w:w="56.3694278315408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Пешечная аномалия (начальная позиция)</w:t>
            </w:r>
          </w:p>
        </w:tc>
        <w:tc>
          <w:tcPr>
            <w:tcW w:type="pct" w:w="37.630572168459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176 = 88 + 88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Итог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Доказаны три структурных свойства поля угроз: тождество атаки (аддитивность массы), точная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-эквивариантность для ориентационно-нейтральных частиц и конечная пешечная аномалия 176 для ориентированных. Механизм — перестановка суммирования, геометрическая инвариантность отношения атаки и прямой перебор с заморозкой результата. Слой K3 получил строгий фундамент: поле угрозы — честный дискретный потенциал с известной группой симметрии.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Верификация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Проверка: python3 dynamics.py --run C6 либо строка C6 полиглот-ядра (в ядре проверяются эквивариантность без пешек и аномалия 176; тождество атаки — в лаборатории). Эквивариантность проверяется сравнением полей исходной и преобразованной позиций для всех восьми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g</w:t>
      </w:r>
      <w:r>
        <w:rPr>
          <w:rFonts w:ascii="Times New Roman" w:eastAsia="SimSun"/>
          <w:color w:val="000000"/>
          <w:sz w:val="24"/>
          <w:szCs w:val="24"/>
        </w:rPr>
        <w:t xml:space="preserve">; PASS требует ноль нарушений без пешек и ровно 176 в начальной позиции во всех семи реализациях.</w:t>
      </w:r>
    </w:p>
    <w:p>
      <w:pPr>
        <w:pBdr>
          <w:top w:val="single" w:color="999999" w:sz="6" w:space="6"/>
        </w:pBdr>
        <w:spacing w:before="240"/>
      </w:pPr>
      <w:r>
        <w:rPr>
          <w:rFonts w:ascii="Times New Roman" w:eastAsia="SimSun"/>
          <w:color w:val="606060"/>
          <w:sz w:val="18"/>
          <w:szCs w:val="18"/>
        </w:rPr>
        <w:t xml:space="preserve">© 2026 chess-dynamics-lab · Индивидуальная исключительная лицензия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Sun"/>
      <w:b/>
      <w:bCs/>
      <w:color w:val="000000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T04 — Поля угроз: аддитивность, эквивариантность и пешечная аномалия</dc:title>
  <dc:creator>Isaev Iskhak Khamzatovich</dc:creator>
  <dc:description>Монография T04 программы chess-dynamics-lab — слой K3</dc:description>
  <cp:lastModifiedBy>Un-named</cp:lastModifiedBy>
  <cp:revision>1</cp:revision>
  <dcterms:created xsi:type="dcterms:W3CDTF">2026-09-29T21:58:05.164Z</dcterms:created>
  <dcterms:modified xsi:type="dcterms:W3CDTF">2026-09-29T21:58:05.164Z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