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196"/>
            </w:pPr>
          </w:p>
          <w:p>
            <w:pPr>
              <w:spacing w:after="400" w:line="414" w:lineRule="atLeast"/>
              <w:jc w:val="center"/>
            </w:pPr>
            <w:r>
              <w:rPr>
                <w:rFonts w:ascii="Times New Roman" w:eastAsia="SimSun"/>
                <w:color w:val="162032"/>
                <w:spacing w:val="60"/>
                <w:sz w:val="36"/>
                <w:szCs w:val="36"/>
              </w:rPr>
              <w:t xml:space="preserve">CHESS-DYNAMICS-LAB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Лагранжиан позиции: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энергия частиц и её</w:t>
            </w:r>
          </w:p>
          <w:p>
            <w:pPr>
              <w:spacing w:after="30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сертификаты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/>
                <w:color w:val="404040"/>
                <w:sz w:val="26"/>
                <w:szCs w:val="26"/>
              </w:rPr>
              <w:t xml:space="preserve">Монография T05 программы chess-dynamics-lab — слой TORUS</w:t>
            </w:r>
          </w:p>
          <w:p>
            <w:pPr>
              <w:spacing w:before="1067"/>
            </w:pPr>
          </w:p>
          <w:tbl>
            <w:tblPr>
              <w:tblW w:type="pct" w:w="55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Исаев Исхак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Монография T05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Программа: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Слой: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слой TORUS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Лицензия: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Индивидуальная исключительная</w:t>
                  </w:r>
                </w:p>
              </w:tc>
            </w:tr>
          </w:tbl>
          <w:p>
            <w:pPr>
              <w:spacing w:before="4066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0"/>
                <w:szCs w:val="20"/>
              </w:rPr>
              <w:t xml:space="preserve">© 2026 chess-dynamics-lab · Индивидуальная исключительная лицензия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Sun"/>
          <w:b/>
          <w:bCs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Теорема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Доказательство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Протокольные данные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Итог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Верификация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актуализировать номера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240"/>
        <w:jc w:val="center"/>
      </w:pPr>
      <w:r>
        <w:rPr>
          <w:rFonts w:ascii="Times New Roman" w:eastAsia="SimSun"/>
          <w:b/>
          <w:bCs/>
          <w:color w:val="8B7E5A"/>
          <w:sz w:val="20"/>
          <w:szCs w:val="20"/>
        </w:rPr>
        <w:t xml:space="preserve">МОНОГРАФИЯ T05 · ПРОГРАММА CHESS-DYNAMICS-LAB</w:t>
      </w:r>
    </w:p>
    <w:p>
      <w:pPr>
        <w:spacing w:after="160" w:line="391" w:lineRule="atLeast"/>
        <w:jc w:val="center"/>
      </w:pPr>
      <w:r>
        <w:rPr>
          <w:rFonts w:ascii="Times New Roman" w:eastAsia="SimSun"/>
          <w:b/>
          <w:bCs/>
          <w:color w:val="000000"/>
          <w:sz w:val="34"/>
          <w:szCs w:val="34"/>
        </w:rPr>
        <w:t xml:space="preserve">Лагранжиан позиции: энергия частиц и её сертификаты</w:t>
      </w:r>
    </w:p>
    <w:p>
      <w:pPr>
        <w:spacing w:after="120"/>
        <w:jc w:val="center"/>
      </w:pPr>
      <w:r>
        <w:rPr>
          <w:rFonts w:ascii="Times New Roman" w:eastAsia="SimSun"/>
          <w:color w:val="404040"/>
          <w:sz w:val="24"/>
          <w:szCs w:val="24"/>
        </w:rPr>
        <w:t xml:space="preserve">Монография T05 программы chess-dynamics-lab — слой TORUS</w:t>
      </w:r>
    </w:p>
    <w:p>
      <w:pPr>
        <w:spacing w:after="40"/>
        <w:jc w:val="center"/>
      </w:pPr>
      <w:r>
        <w:rPr>
          <w:rFonts w:ascii="Times New Roman" w:eastAsia="SimSun"/>
          <w:color w:val="000000"/>
          <w:sz w:val="22"/>
          <w:szCs w:val="22"/>
        </w:rPr>
        <w:t xml:space="preserve">Исаев Исхак Хамзатович</w:t>
      </w:r>
    </w:p>
    <w:p>
      <w:pPr>
        <w:spacing w:after="60"/>
        <w:jc w:val="center"/>
      </w:pPr>
      <w:r>
        <w:rPr>
          <w:rFonts w:ascii="Times New Roman" w:eastAsia="SimSun"/>
          <w:color w:val="606060"/>
          <w:sz w:val="18"/>
          <w:szCs w:val="18"/>
        </w:rPr>
        <w:t xml:space="preserve">Ключевые слова: лагранжиан, энергия позиции, мобильность, детерминизм</w:t>
      </w:r>
    </w:p>
    <w:p>
      <w:pPr>
        <w:pBdr>
          <w:bottom w:val="single" w:color="8B7E5A" w:sz="8" w:space="4"/>
        </w:pBdr>
        <w:spacing w:after="240"/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Постановка задачи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Слой TORUS — кинетический слой модели: ход частицы есть переход состояния, а позиция несёт энергию. Мы определяем лагранжеву энергию позиции как взвешенную сумму потенциального (материального) и кинетического (мобильностного) членов и доказываем её базовые свойства: вычислимость, детерминизм, начальные сертификатные значения и верхние границы. Именно эта энергия минимизируется поиском в полной игре (T10) и отображается в веб-лаборатории как энергетическая панель.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Выбор весов подчинён двум требованиям: энергия должна быть целочисленной в сотых долях (для точных сравнений в поиске) и должна обращаться в ноль на сбалансированных симметричных позициях. Материальный вес — 100 очков за пешечную единицу, кинетический коэффициент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μ = 0.1</w:t>
      </w:r>
      <w:r>
        <w:rPr>
          <w:rFonts w:ascii="Times New Roman" w:eastAsia="SimSun"/>
          <w:color w:val="000000"/>
          <w:sz w:val="24"/>
          <w:szCs w:val="24"/>
        </w:rPr>
        <w:t xml:space="preserve"> хода за очко: мобильность влияет, но не доминирует над материей — это классическая пропорция шахматной практики, положенная в определение.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Теорема</w:t>
      </w:r>
      <w:bookmarkEnd w:id="100001"/>
    </w:p>
    <w:p>
      <w:pPr>
        <w:pBdr>
          <w:left w:val="single" w:color="8B7E5A" w:sz="24" w:space="8"/>
        </w:pBdr>
        <w:shd w:fill="F6F4EF" w:val="clear"/>
        <w:spacing w:after="120" w:before="120" w:line="312"/>
        <w:ind w:left="240" w:right="1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Теорема T05 (лагранжиан позиции).</w:t>
      </w:r>
      <w:r>
        <w:rPr>
          <w:sz w:val="24"/>
          <w:szCs w:val="24"/>
        </w:rPr>
        <w:t xml:space="preserve"> </w:t>
      </w:r>
      <w:r>
        <w:rPr>
          <w:rFonts w:ascii="Times New Roman" w:eastAsia="SimSun"/>
          <w:color w:val="000000"/>
          <w:sz w:val="24"/>
          <w:szCs w:val="24"/>
        </w:rPr>
        <w:t xml:space="preserve">Пусть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M(s)</w:t>
      </w:r>
      <w:r>
        <w:rPr>
          <w:rFonts w:ascii="Times New Roman" w:eastAsia="SimSun"/>
          <w:color w:val="000000"/>
          <w:sz w:val="24"/>
          <w:szCs w:val="24"/>
        </w:rPr>
        <w:t xml:space="preserve"> — материал стороны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 в пешечных единицах,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m(s)</w:t>
      </w:r>
      <w:r>
        <w:rPr>
          <w:rFonts w:ascii="Times New Roman" w:eastAsia="SimSun"/>
          <w:color w:val="000000"/>
          <w:sz w:val="24"/>
          <w:szCs w:val="24"/>
        </w:rPr>
        <w:t xml:space="preserve"> — число легальных ходов стороны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. Энергия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E = [M(∘) - M(•)] + μ [m(∘) - m(•)]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μ = 0.1</w:t>
      </w:r>
      <w:r>
        <w:rPr>
          <w:rFonts w:ascii="Times New Roman" w:eastAsia="SimSun"/>
          <w:color w:val="000000"/>
          <w:sz w:val="24"/>
          <w:szCs w:val="24"/>
        </w:rPr>
        <w:t xml:space="preserve">. Тогда: (i)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E</w:t>
      </w:r>
      <w:r>
        <w:rPr>
          <w:rFonts w:ascii="Times New Roman" w:eastAsia="SimSun"/>
          <w:color w:val="000000"/>
          <w:sz w:val="24"/>
          <w:szCs w:val="24"/>
        </w:rPr>
        <w:t xml:space="preserve"> точно вычислим и детерминирован; (ii) в начальной позиции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m(∘) = m(•) = 20</w:t>
      </w:r>
      <w:r>
        <w:rPr>
          <w:rFonts w:ascii="Times New Roman" w:eastAsia="SimSun"/>
          <w:color w:val="000000"/>
          <w:sz w:val="24"/>
          <w:szCs w:val="24"/>
        </w:rPr>
        <w:t xml:space="preserve">; (iii) после хода 1.e4 мобильность белых равна 30; (iv) для любой позиции с материальным набором одной стороны (ферзь, две ладьи, два слона, два коня, король) мобильность этой стороны не превосходит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27 + 14 + 14 + 13 + 13 + 8 + 8 + 8 = 105</w:t>
      </w:r>
      <w:r>
        <w:rPr>
          <w:rFonts w:ascii="Times New Roman" w:eastAsia="SimSun"/>
          <w:color w:val="000000"/>
          <w:sz w:val="24"/>
          <w:szCs w:val="24"/>
        </w:rPr>
        <w:t xml:space="preserve">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Доказательство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(i) Вычислимость и детерминизм. Материал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M(s)</w:t>
      </w:r>
      <w:r>
        <w:rPr>
          <w:rFonts w:ascii="Times New Roman" w:eastAsia="SimSun"/>
          <w:color w:val="000000"/>
          <w:sz w:val="24"/>
          <w:szCs w:val="24"/>
        </w:rPr>
        <w:t xml:space="preserve"> — конечная сумма по 64 клеткам фиксированной функции от содержимого клетки; мобильность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m(s)</w:t>
      </w:r>
      <w:r>
        <w:rPr>
          <w:rFonts w:ascii="Times New Roman" w:eastAsia="SimSun"/>
          <w:color w:val="000000"/>
          <w:sz w:val="24"/>
          <w:szCs w:val="24"/>
        </w:rPr>
        <w:t xml:space="preserve"> — мощность конечного множества легальных ходов, порождаемого детерминированной процедурой генерации. Обе величины не зависят от порядка обхода и от случайных параметров, поэтому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E</w:t>
      </w:r>
      <w:r>
        <w:rPr>
          <w:rFonts w:ascii="Times New Roman" w:eastAsia="SimSun"/>
          <w:color w:val="000000"/>
          <w:sz w:val="24"/>
          <w:szCs w:val="24"/>
        </w:rPr>
        <w:t xml:space="preserve"> — детерминированная функция позиции. Тот факт, что генерация ходов корректна, сертификатно подтверждается перестановочными идентичностями T08 (perft).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(ii) Начальная мобильность. Восемь пешков на второй горизонтали имеют по два хода (на одну и на две клетки вперёд) — это 16 ходов; оба коня (b1 и g1) имеют по два хода (a3, c3 и f3, h3) — ещё 4; слоны, ладьи, ферзь и король заперты собственными пешками. Итого ровно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16 + 4 = 20</w:t>
      </w:r>
      <w:r>
        <w:rPr>
          <w:rFonts w:ascii="Times New Roman" w:eastAsia="SimSun"/>
          <w:color w:val="000000"/>
          <w:sz w:val="24"/>
          <w:szCs w:val="24"/>
        </w:rPr>
        <w:t xml:space="preserve"> легальных ходов, что совпадает с perft(1) теоремы T08. Симметрия даёт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m(•) = 20</w:t>
      </w:r>
      <w:r>
        <w:rPr>
          <w:rFonts w:ascii="Times New Roman" w:eastAsia="SimSun"/>
          <w:color w:val="000000"/>
          <w:sz w:val="24"/>
          <w:szCs w:val="24"/>
        </w:rPr>
        <w:t xml:space="preserve">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(iii) После 1.e4. Пешок e2 ушёл на e4: он по-прежнему имеет два хода (e5 и размен не доступен), семь остальных пешков дают 14; освободились диагональ слона f1 (пять клеток: e2, d3, c4, b5, a6), диагональ ферзя d1 (четыре клетки: e2, f3, g4, h5) и поле e2 для коня g1 (третий ход сверх f3, h3). Итого: пешки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7 · 2 + 2 = 16</w:t>
      </w:r>
      <w:r>
        <w:rPr>
          <w:rFonts w:ascii="Times New Roman" w:eastAsia="SimSun"/>
          <w:color w:val="000000"/>
          <w:sz w:val="24"/>
          <w:szCs w:val="24"/>
        </w:rPr>
        <w:t xml:space="preserve">, кони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 + 3 = 5</w:t>
      </w:r>
      <w:r>
        <w:rPr>
          <w:rFonts w:ascii="Times New Roman" w:eastAsia="SimSun"/>
          <w:color w:val="000000"/>
          <w:sz w:val="24"/>
          <w:szCs w:val="24"/>
        </w:rPr>
        <w:t xml:space="preserve">, слон f1 — 5, ферзь — 4; сумма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16 + 5 + 5 + 4 = 30</w:t>
      </w:r>
      <w:r>
        <w:rPr>
          <w:rFonts w:ascii="Times New Roman" w:eastAsia="SimSun"/>
          <w:color w:val="000000"/>
          <w:sz w:val="24"/>
          <w:szCs w:val="24"/>
        </w:rPr>
        <w:t xml:space="preserve">. Подчеркнём: подсчёт ведётся по правилу блокировки, и каждое из перечисленных полей действительно свободно в позиции после 1.e4.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(iv) Верхняя граница. Мобильность стороны не превосходит суммы максимальных мобильностей её частиц: каждый ход делается какой-то одной частицей, и число ходов частицы не превосходит её мобильности на пустой доске (блокировка может только уменьшить число достижимых клеток). По T03 максимумы равны: ферзь 27, ладья 14, слон 13, конь 8, король 8. Для стандартного набора (ферзь, две ладьи, два слона, два коня, король) получаем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27 + 2 · 14 + 2 · 13 + 2 · 8 + 8 = 105</w:t>
      </w:r>
      <w:r>
        <w:rPr>
          <w:rFonts w:ascii="Times New Roman" w:eastAsia="SimSun"/>
          <w:color w:val="000000"/>
          <w:sz w:val="24"/>
          <w:szCs w:val="24"/>
        </w:rPr>
        <w:t xml:space="preserve">. Отметим, что при навале проведённых фигур реальный рекорд мобильности в легальной позиции достигает 218 ходов — эта константа входит в протокольные данные как эталон «максимальной кинетической энергии» конструкции из восьми ферзей. Теорема доказана.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Протокольные данные</w:t>
      </w:r>
      <w:bookmarkEnd w:id="100003"/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Энергетические сертификаты (проверка C7)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7.97221548943884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Величина</w:t>
            </w:r>
          </w:p>
        </w:tc>
        <w:tc>
          <w:tcPr>
            <w:tcW w:type="pct" w:w="36.02778451056115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57.9722154894388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Мобильность белых, начальная позиция</w:t>
            </w:r>
          </w:p>
        </w:tc>
        <w:tc>
          <w:tcPr>
            <w:tcW w:type="pct" w:w="36.0277845105611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pct" w:w="57.9722154894388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Мобильность белых после 1.e4</w:t>
            </w:r>
          </w:p>
        </w:tc>
        <w:tc>
          <w:tcPr>
            <w:tcW w:type="pct" w:w="36.0277845105611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30</w:t>
            </w:r>
          </w:p>
        </w:tc>
      </w:tr>
      <w:tr>
        <w:trPr>
          <w:cantSplit/>
        </w:trPr>
        <w:tc>
          <w:tcPr>
            <w:tcW w:type="pct" w:w="57.9722154894388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Детерминизм энергии</w:t>
            </w:r>
          </w:p>
        </w:tc>
        <w:tc>
          <w:tcPr>
            <w:tcW w:type="pct" w:w="36.0277845105611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подтверждён (двойной прогон)</w:t>
            </w:r>
          </w:p>
        </w:tc>
      </w:tr>
      <w:tr>
        <w:trPr>
          <w:cantSplit/>
        </w:trPr>
        <w:tc>
          <w:tcPr>
            <w:tcW w:type="pct" w:w="57.9722154894388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Стабильность Zobrist-хеша позиции</w:t>
            </w:r>
          </w:p>
        </w:tc>
        <w:tc>
          <w:tcPr>
            <w:tcW w:type="pct" w:w="36.0277845105611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подтверждена</w:t>
            </w:r>
          </w:p>
        </w:tc>
      </w:tr>
      <w:tr>
        <w:trPr>
          <w:cantSplit/>
        </w:trPr>
        <w:tc>
          <w:tcPr>
            <w:tcW w:type="pct" w:w="57.9722154894388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Обратимость splitmix64</w:t>
            </w:r>
          </w:p>
        </w:tc>
        <w:tc>
          <w:tcPr>
            <w:tcW w:type="pct" w:w="36.0277845105611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подтверждена (2000 значений)</w:t>
            </w:r>
          </w:p>
        </w:tc>
      </w:tr>
      <w:tr>
        <w:trPr>
          <w:cantSplit/>
        </w:trPr>
        <w:tc>
          <w:tcPr>
            <w:tcW w:type="pct" w:w="57.9722154894388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Верхняя граница мобильности (стандартный набор)</w:t>
            </w:r>
          </w:p>
        </w:tc>
        <w:tc>
          <w:tcPr>
            <w:tcW w:type="pct" w:w="36.0277845105611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105</w:t>
            </w:r>
          </w:p>
        </w:tc>
      </w:tr>
      <w:tr>
        <w:trPr>
          <w:cantSplit/>
        </w:trPr>
        <w:tc>
          <w:tcPr>
            <w:tcW w:type="pct" w:w="57.9722154894388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Эталон максимальной мобильности (конструкция 218)</w:t>
            </w:r>
          </w:p>
        </w:tc>
        <w:tc>
          <w:tcPr>
            <w:tcW w:type="pct" w:w="36.0277845105611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218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Итог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Введена и обоснована лагранжева энергия позиции: доказаны вычислимость и детерминизм, вычислены начальные сертификаты 20 и 30 с полным перечислением составляющих ходов, установлена верхняя граница 105 для стандартного материального набора и зафиксирован эталон 218 для ферзевой конструкции. Механизм — прямое комбинаторное подсчитывание с правилом блокировки; все значения входят в протокол C7 и базлайн.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Верификация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Проверка: python3 dynamics.py --run C7 либо строка C7 полиглот-ядра. Детерминизм проверяется двойным вычислением энергии и сравнением Zobrist-хешей; мобильности 20 и 30 сравниваются с генерацией ходов; PASS во всех семи реализациях.</w:t>
      </w:r>
    </w:p>
    <w:p>
      <w:pPr>
        <w:pBdr>
          <w:top w:val="single" w:color="999999" w:sz="6" w:space="6"/>
        </w:pBdr>
        <w:spacing w:before="240"/>
      </w:pPr>
      <w:r>
        <w:rPr>
          <w:rFonts w:ascii="Times New Roman" w:eastAsia="SimSun"/>
          <w:color w:val="606060"/>
          <w:sz w:val="18"/>
          <w:szCs w:val="18"/>
        </w:rPr>
        <w:t xml:space="preserve">© 2026 chess-dynamics-lab · Индивидуальная исключительная лицензия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Sun"/>
      <w:b/>
      <w:bCs/>
      <w:color w:val="000000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T05 — Лагранжиан позиции: энергия частиц и её сертификаты</dc:title>
  <dc:creator>Isaev Iskhak Khamzatovich</dc:creator>
  <dc:description>Монография T05 программы chess-dynamics-lab — слой TORUS</dc:description>
  <cp:lastModifiedBy>Un-named</cp:lastModifiedBy>
  <cp:revision>1</cp:revision>
  <dcterms:created xsi:type="dcterms:W3CDTF">2026-09-29T21:58:05.214Z</dcterms:created>
  <dcterms:modified xsi:type="dcterms:W3CDTF">2026-09-29T21:58:05.214Z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