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196"/>
            </w:pPr>
          </w:p>
          <w:p>
            <w:pPr>
              <w:spacing w:after="400" w:line="414" w:lineRule="atLeast"/>
              <w:jc w:val="center"/>
            </w:pPr>
            <w:r>
              <w:rPr>
                <w:rFonts w:ascii="Times New Roman" w:eastAsia="SimSun"/>
                <w:color w:val="162032"/>
                <w:spacing w:val="60"/>
                <w:sz w:val="36"/>
                <w:szCs w:val="36"/>
              </w:rPr>
              <w:t xml:space="preserve">CHESS-DYNAMICS-LAB</w:t>
            </w:r>
          </w:p>
          <w:p>
            <w:pPr>
              <w:spacing w:after="12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Хеширование Цобриста:</w:t>
            </w:r>
          </w:p>
          <w:p>
            <w:pPr>
              <w:spacing w:after="12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биективность splitmix64 и</w:t>
            </w:r>
          </w:p>
          <w:p>
            <w:pPr>
              <w:spacing w:after="30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инкрементальность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/>
                <w:color w:val="404040"/>
                <w:sz w:val="26"/>
                <w:szCs w:val="26"/>
              </w:rPr>
              <w:t xml:space="preserve">Монография T09 программы chess-dynamics-lab — слой KLEIN, память потока</w:t>
            </w:r>
          </w:p>
          <w:p>
            <w:pPr>
              <w:spacing w:before="1067"/>
            </w:pPr>
          </w:p>
          <w:tbl>
            <w:tblPr>
              <w:tblW w:type="pct" w:w="55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Автор: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Исаев Исхак Хамзатович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Серия: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Монография T09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Программа: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chess-dynamics-lab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Слой: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слой KLEIN, память потока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Лицензия: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Индивидуальная исключительная</w:t>
                  </w:r>
                </w:p>
              </w:tc>
            </w:tr>
          </w:tbl>
          <w:p>
            <w:pPr>
              <w:spacing w:before="4066"/>
            </w:pPr>
          </w:p>
          <w:p>
            <w:pPr>
              <w:jc w:val="center"/>
            </w:pPr>
            <w:r>
              <w:rPr>
                <w:rFonts w:ascii="Times New Roman" w:eastAsia="SimSun"/>
                <w:color w:val="404040"/>
                <w:sz w:val="20"/>
                <w:szCs w:val="20"/>
              </w:rPr>
              <w:t xml:space="preserve">© 2026 chess-dynamics-lab · Индивидуальная исключительная лицензия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Sun"/>
          <w:b/>
          <w:bCs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Постановка задачи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Теорема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Доказательство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Протокольные данные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Итог доказанного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Проверка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щёлкните по оглавлению правой кнопкой мыши и выберите «Обновить поле», чтобы актуализировать номера страниц.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spacing w:after="240"/>
        <w:jc w:val="center"/>
      </w:pPr>
      <w:r>
        <w:rPr>
          <w:rFonts w:ascii="Times New Roman" w:eastAsia="SimSun"/>
          <w:b/>
          <w:bCs/>
          <w:color w:val="8B7E5A"/>
          <w:sz w:val="20"/>
          <w:szCs w:val="20"/>
        </w:rPr>
        <w:t xml:space="preserve">МОНОГРАФИЯ T09 · ПРОГРАММА CHESS-DYNAMICS-LAB</w:t>
      </w:r>
    </w:p>
    <w:p>
      <w:pPr>
        <w:spacing w:after="160" w:line="391" w:lineRule="atLeast"/>
        <w:jc w:val="center"/>
      </w:pPr>
      <w:r>
        <w:rPr>
          <w:rFonts w:ascii="Times New Roman" w:eastAsia="SimSun"/>
          <w:b/>
          <w:bCs/>
          <w:color w:val="000000"/>
          <w:sz w:val="34"/>
          <w:szCs w:val="34"/>
        </w:rPr>
        <w:t xml:space="preserve">Хеширование Цобриста: биективность splitmix64 и инкрементальность</w:t>
      </w:r>
    </w:p>
    <w:p>
      <w:pPr>
        <w:spacing w:after="120"/>
        <w:jc w:val="center"/>
      </w:pPr>
      <w:r>
        <w:rPr>
          <w:rFonts w:ascii="Times New Roman" w:eastAsia="SimSun"/>
          <w:color w:val="404040"/>
          <w:sz w:val="24"/>
          <w:szCs w:val="24"/>
        </w:rPr>
        <w:t xml:space="preserve">Монография T09 программы chess-dynamics-lab — слой KLEIN, память потока</w:t>
      </w:r>
    </w:p>
    <w:p>
      <w:pPr>
        <w:spacing w:after="40"/>
        <w:jc w:val="center"/>
      </w:pPr>
      <w:r>
        <w:rPr>
          <w:rFonts w:ascii="Times New Roman" w:eastAsia="SimSun"/>
          <w:color w:val="000000"/>
          <w:sz w:val="22"/>
          <w:szCs w:val="22"/>
        </w:rPr>
        <w:t xml:space="preserve">Исаев Исхак Хамзатович</w:t>
      </w:r>
    </w:p>
    <w:p>
      <w:pPr>
        <w:spacing w:after="60"/>
        <w:jc w:val="center"/>
      </w:pPr>
      <w:r>
        <w:rPr>
          <w:rFonts w:ascii="Times New Roman" w:eastAsia="SimSun"/>
          <w:color w:val="606060"/>
          <w:sz w:val="18"/>
          <w:szCs w:val="18"/>
        </w:rPr>
        <w:t xml:space="preserve">Ключевые слова: хеш Цобриста, splitmix64, биекция, инкрементальность, граница дней рождения</w:t>
      </w:r>
    </w:p>
    <w:p>
      <w:pPr>
        <w:pBdr>
          <w:bottom w:val="single" w:color="8B7E5A" w:sz="8" w:space="4"/>
        </w:pBdr>
        <w:spacing w:after="240"/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Постановка задачи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Слой KLEIN — память модели: дискретный поток ходов должен различать свои состояния, иначе таблицы транспозиций, ретроградный анализ T11 и весь протокол верификации не имеют общей системы координат. Классическое решение — хеширование Цобриста (1970): каждой атомарной компоненте состояния сопоставлен случайный 64-битный ключ, а хеш позиции есть XOR ключей всех присутствующих компонент. Композиция по XOR дёшева и инкрементальна, но её корректность держится на двух фактах, которые необходимо доказывать: генератор ключей должен порождать воспроизводимую и статистически добротную последовательность без внешних источников энтропии, а инкрементальное обновление должно в точности совпадать с полным пересчётом на каждом шаге потока.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Мы отвечаем на оба требования конструктивно. Генератор — splitmix64, финализатор семейства FastHash: сложение с золотой константой и два раунда «сдвиг-ксор, умножение». Он компактный настолько, что одна и та же функция на семи языках полиглот-ядра даёт бит-в-бит одинаковые таблицы: кросс-языковая воспроизводимость становится частью теоремы, а не надеждой на аккуратность портов. Инкрементальность доказывается индукцией по последовательности ходов с явной формулой дельты — включая рокировки, взятия на проходе и превращения.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Отдельный вопрос — безопасность 64-битного пространства: достаточно ли его для таблицы транспозиций. Мы приводим точную границу дней рождения и показываем, что даже при миллиарде занесённых позиций вероятность хотя бы одной коллизии остаётся ниже трёх процентов, а практические режимы лаборатории находятся на много порядков глубже безопасной зоны.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Теорема</w:t>
      </w:r>
      <w:bookmarkEnd w:id="100001"/>
    </w:p>
    <w:p>
      <w:pPr>
        <w:pBdr>
          <w:left w:val="single" w:color="8B7E5A" w:sz="24" w:space="8"/>
        </w:pBdr>
        <w:shd w:fill="F6F4EF" w:val="clear"/>
        <w:spacing w:after="120" w:before="120" w:line="312"/>
        <w:ind w:left="240" w:right="1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Теорема T09 (биективность splitmix64 и инкрементальность хеша).</w:t>
      </w:r>
      <w:r>
        <w:rPr>
          <w:sz w:val="24"/>
          <w:szCs w:val="24"/>
        </w:rPr>
        <w:t xml:space="preserve"> </w:t>
      </w:r>
      <w:r>
        <w:rPr>
          <w:rFonts w:ascii="Times New Roman" w:eastAsia="SimSun"/>
          <w:color w:val="000000"/>
          <w:sz w:val="24"/>
          <w:szCs w:val="24"/>
        </w:rPr>
        <w:t xml:space="preserve">Отображение splitmix64: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x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0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= x + γ</w:t>
      </w:r>
      <w:r>
        <w:rPr>
          <w:rFonts w:ascii="Times New Roman" w:eastAsia="SimSun"/>
          <w:color w:val="000000"/>
          <w:sz w:val="24"/>
          <w:szCs w:val="24"/>
        </w:rPr>
        <w:t xml:space="preserve">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γ =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0x9E3779B97F4A7C15</w:t>
      </w:r>
      <w:r>
        <w:rPr>
          <w:rFonts w:ascii="Times New Roman" w:eastAsia="SimSun"/>
          <w:color w:val="000000"/>
          <w:sz w:val="24"/>
          <w:szCs w:val="24"/>
        </w:rPr>
        <w:t xml:space="preserve">;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x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= (x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0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⊕ (x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0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≫ 30)) ·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0xBF58476D1CE4E5B9</w:t>
      </w:r>
      <w:r>
        <w:rPr>
          <w:rFonts w:ascii="Times New Roman" w:eastAsia="SimSun"/>
          <w:color w:val="000000"/>
          <w:sz w:val="24"/>
          <w:szCs w:val="24"/>
        </w:rPr>
        <w:t xml:space="preserve">;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x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= (x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⊕ (x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≫ 27)) ·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0x94D049BB133111EB</w:t>
      </w:r>
      <w:r>
        <w:rPr>
          <w:rFonts w:ascii="Times New Roman" w:eastAsia="SimSun"/>
          <w:color w:val="000000"/>
          <w:sz w:val="24"/>
          <w:szCs w:val="24"/>
        </w:rPr>
        <w:t xml:space="preserve">;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σ(x) = x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⊕ (x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≫ 31)</w:t>
      </w:r>
      <w:r>
        <w:rPr>
          <w:rFonts w:ascii="Times New Roman" w:eastAsia="SimSun"/>
          <w:color w:val="000000"/>
          <w:sz w:val="24"/>
          <w:szCs w:val="24"/>
        </w:rPr>
        <w:t xml:space="preserve">; все операции по модулю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64</w:t>
      </w:r>
      <w:r>
        <w:rPr>
          <w:rFonts w:ascii="Times New Roman" w:eastAsia="SimSun"/>
          <w:color w:val="000000"/>
          <w:sz w:val="24"/>
          <w:szCs w:val="24"/>
        </w:rPr>
        <w:t xml:space="preserve">. Тогда: (i)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σ</w:t>
      </w:r>
      <w:r>
        <w:rPr>
          <w:rFonts w:ascii="Times New Roman" w:eastAsia="SimSun"/>
          <w:color w:val="000000"/>
          <w:sz w:val="24"/>
          <w:szCs w:val="24"/>
        </w:rPr>
        <w:t xml:space="preserve"> — биекция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ℤ/2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64</w:t>
      </w:r>
      <w:r>
        <w:rPr>
          <w:rFonts w:ascii="Times New Roman" w:eastAsia="SimSun"/>
          <w:color w:val="000000"/>
          <w:sz w:val="24"/>
          <w:szCs w:val="24"/>
        </w:rPr>
        <w:t xml:space="preserve"> с явно выписываемой обратной; (ii) таблица ключей из 1562 слов, порождённая зерном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0x1234567890ABCDEF</w:t>
      </w:r>
      <w:r>
        <w:rPr>
          <w:rFonts w:ascii="Times New Roman" w:eastAsia="SimSun"/>
          <w:color w:val="000000"/>
          <w:sz w:val="24"/>
          <w:szCs w:val="24"/>
        </w:rPr>
        <w:t xml:space="preserve">, состоит из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12 × 128</w:t>
      </w:r>
      <w:r>
        <w:rPr>
          <w:rFonts w:ascii="Times New Roman" w:eastAsia="SimSun"/>
          <w:color w:val="000000"/>
          <w:sz w:val="24"/>
          <w:szCs w:val="24"/>
        </w:rPr>
        <w:t xml:space="preserve"> фигурных, одного стороннего, 16 рокировочных и 9 проходных ключей; (iii) для любой позиции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P</w:t>
      </w:r>
      <w:r>
        <w:rPr>
          <w:rFonts w:ascii="Times New Roman" w:eastAsia="SimSun"/>
          <w:color w:val="000000"/>
          <w:sz w:val="24"/>
          <w:szCs w:val="24"/>
        </w:rPr>
        <w:t xml:space="preserve"> и хода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m</w:t>
      </w:r>
      <w:r>
        <w:rPr>
          <w:rFonts w:ascii="Times New Roman" w:eastAsia="SimSun"/>
          <w:color w:val="000000"/>
          <w:sz w:val="24"/>
          <w:szCs w:val="24"/>
        </w:rPr>
        <w:t xml:space="preserve"> инкрементальный хеш равен полному пересчёту: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h(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make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(P,m)) = h(P) ⊕ Δ(m)</w:t>
      </w:r>
      <w:r>
        <w:rPr>
          <w:rFonts w:ascii="Times New Roman" w:eastAsia="SimSun"/>
          <w:color w:val="000000"/>
          <w:sz w:val="24"/>
          <w:szCs w:val="24"/>
        </w:rPr>
        <w:t xml:space="preserve">, где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Δ(m)</w:t>
      </w:r>
      <w:r>
        <w:rPr>
          <w:rFonts w:ascii="Times New Roman" w:eastAsia="SimSun"/>
          <w:color w:val="000000"/>
          <w:sz w:val="24"/>
          <w:szCs w:val="24"/>
        </w:rPr>
        <w:t xml:space="preserve"> зависит только от компонент, изменённых ходом; (iv) при случайных ключах вероятность коллизии для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</w:t>
      </w:r>
      <w:r>
        <w:rPr>
          <w:rFonts w:ascii="Times New Roman" w:eastAsia="SimSun"/>
          <w:color w:val="000000"/>
          <w:sz w:val="24"/>
          <w:szCs w:val="24"/>
        </w:rPr>
        <w:t xml:space="preserve"> позиций не превосходит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n(n-1)/2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65</w:t>
      </w:r>
      <w:r>
        <w:rPr>
          <w:rFonts w:ascii="Times New Roman" w:eastAsia="SimSun"/>
          <w:color w:val="000000"/>
          <w:sz w:val="24"/>
          <w:szCs w:val="24"/>
        </w:rPr>
        <w:t xml:space="preserve">; при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 = 10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9</w:t>
      </w:r>
      <w:r>
        <w:rPr>
          <w:rFonts w:ascii="Times New Roman" w:eastAsia="SimSun"/>
          <w:color w:val="000000"/>
          <w:sz w:val="24"/>
          <w:szCs w:val="24"/>
        </w:rPr>
        <w:t xml:space="preserve"> это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0.027</w:t>
      </w:r>
      <w:r>
        <w:rPr>
          <w:rFonts w:ascii="Times New Roman" w:eastAsia="SimSun"/>
          <w:color w:val="000000"/>
          <w:sz w:val="24"/>
          <w:szCs w:val="24"/>
        </w:rPr>
        <w:t xml:space="preserve">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Доказательство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(i) Биективность. Все три ступени — биекции кольца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ℤ/2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64</w:t>
      </w:r>
      <w:r>
        <w:rPr>
          <w:rFonts w:ascii="Times New Roman" w:eastAsia="SimSun"/>
          <w:color w:val="000000"/>
          <w:sz w:val="24"/>
          <w:szCs w:val="24"/>
        </w:rPr>
        <w:t xml:space="preserve">. Сложение с константой биективно тривиально. Умножение на константу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 биективно тогда и только тогда, когда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 нечётно: нечётное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u</w:t>
      </w:r>
      <w:r>
        <w:rPr>
          <w:rFonts w:ascii="Times New Roman" w:eastAsia="SimSun"/>
          <w:color w:val="000000"/>
          <w:sz w:val="24"/>
          <w:szCs w:val="24"/>
        </w:rPr>
        <w:t xml:space="preserve"> взаимно просто с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64</w:t>
      </w:r>
      <w:r>
        <w:rPr>
          <w:rFonts w:ascii="Times New Roman" w:eastAsia="SimSun"/>
          <w:color w:val="000000"/>
          <w:sz w:val="24"/>
          <w:szCs w:val="24"/>
        </w:rPr>
        <w:t xml:space="preserve">, по теореме Безу существует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u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-1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 mod 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64</w:t>
      </w:r>
      <w:r>
        <w:rPr>
          <w:rFonts w:ascii="Times New Roman" w:eastAsia="SimSun"/>
          <w:color w:val="000000"/>
          <w:sz w:val="24"/>
          <w:szCs w:val="24"/>
        </w:rPr>
        <w:t xml:space="preserve">, и обе константы 0xBF58476D1CE4E5B9 и 0x94D049BB133111EB нечётны. Сдвиг-ксор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x ↦ x ⊕ (x ≫ s)</w:t>
      </w:r>
      <w:r>
        <w:rPr>
          <w:rFonts w:ascii="Times New Roman" w:eastAsia="SimSun"/>
          <w:color w:val="000000"/>
          <w:sz w:val="24"/>
          <w:szCs w:val="24"/>
        </w:rPr>
        <w:t xml:space="preserve"> обращается бесконечным рядом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y ↦ y ⊕ (y ≫ s) ⊕ (y ≫ 2s) ⊕ ⋯</w:t>
      </w:r>
      <w:r>
        <w:rPr>
          <w:rFonts w:ascii="Times New Roman" w:eastAsia="SimSun"/>
          <w:color w:val="000000"/>
          <w:sz w:val="24"/>
          <w:szCs w:val="24"/>
        </w:rPr>
        <w:t xml:space="preserve">: старшие биты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x</w:t>
      </w:r>
      <w:r>
        <w:rPr>
          <w:rFonts w:ascii="Times New Roman" w:eastAsia="SimSun"/>
          <w:color w:val="000000"/>
          <w:sz w:val="24"/>
          <w:szCs w:val="24"/>
        </w:rPr>
        <w:t xml:space="preserve"> восстанавливаются немедленно, младшие — каскадом, и ряд обрывается, как только сдвиг достигает ширины слова. Для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s ∈ {30, 27, 31}</w:t>
      </w:r>
      <w:r>
        <w:rPr>
          <w:rFonts w:ascii="Times New Roman" w:eastAsia="SimSun"/>
          <w:color w:val="000000"/>
          <w:sz w:val="24"/>
          <w:szCs w:val="24"/>
        </w:rPr>
        <w:t xml:space="preserve"> достаточно двух членов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s</w:t>
      </w:r>
      <w:r>
        <w:rPr>
          <w:rFonts w:ascii="Times New Roman" w:eastAsia="SimSun"/>
          <w:color w:val="000000"/>
          <w:sz w:val="24"/>
          <w:szCs w:val="24"/>
        </w:rPr>
        <w:t xml:space="preserve"> 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2s</w:t>
      </w:r>
      <w:r>
        <w:rPr>
          <w:rFonts w:ascii="Times New Roman" w:eastAsia="SimSun"/>
          <w:color w:val="000000"/>
          <w:sz w:val="24"/>
          <w:szCs w:val="24"/>
        </w:rPr>
        <w:t xml:space="preserve">: член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y ≫ 3s</w:t>
      </w:r>
      <w:r>
        <w:rPr>
          <w:rFonts w:ascii="Times New Roman" w:eastAsia="SimSun"/>
          <w:color w:val="000000"/>
          <w:sz w:val="24"/>
          <w:szCs w:val="24"/>
        </w:rPr>
        <w:t xml:space="preserve"> и все последующие нулевые, поскольку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3s ≥ 64</w:t>
      </w:r>
      <w:r>
        <w:rPr>
          <w:rFonts w:ascii="Times New Roman" w:eastAsia="SimSun"/>
          <w:color w:val="000000"/>
          <w:sz w:val="24"/>
          <w:szCs w:val="24"/>
        </w:rPr>
        <w:t xml:space="preserve">. Обратная функция реализована в лаборатории буквально: каскады раскручиваются в обратном порядке, нечётные множители заменяются модулярными обратными, затем вычитается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γ</w:t>
      </w:r>
      <w:r>
        <w:rPr>
          <w:rFonts w:ascii="Times New Roman" w:eastAsia="SimSun"/>
          <w:color w:val="000000"/>
          <w:sz w:val="24"/>
          <w:szCs w:val="24"/>
        </w:rPr>
        <w:t xml:space="preserve">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Биективность подтверждается конструктивно: round-trip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σ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-1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(σ(x)) = x</w:t>
      </w:r>
      <w:r>
        <w:rPr>
          <w:rFonts w:ascii="Times New Roman" w:eastAsia="SimSun"/>
          <w:color w:val="000000"/>
          <w:sz w:val="24"/>
          <w:szCs w:val="24"/>
        </w:rPr>
        <w:t xml:space="preserve"> исполнен для всех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x ∈ [1, 2000]</w:t>
      </w:r>
      <w:r>
        <w:rPr>
          <w:rFonts w:ascii="Times New Roman" w:eastAsia="SimSun"/>
          <w:color w:val="000000"/>
          <w:sz w:val="24"/>
          <w:szCs w:val="24"/>
        </w:rPr>
        <w:t xml:space="preserve"> в проверке C7 и для всех 1562 табличных ключей в C9. Первые значения последовательности фиксируют кросс-языковой эталон: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σ(1) =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0x910A2DEC89025CC1</w:t>
      </w:r>
      <w:r>
        <w:rPr>
          <w:rFonts w:ascii="Times New Roman" w:eastAsia="SimSun"/>
          <w:color w:val="000000"/>
          <w:sz w:val="24"/>
          <w:szCs w:val="24"/>
        </w:rPr>
        <w:t xml:space="preserve">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σ(2) =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0x975835DE1C9756CE</w:t>
      </w:r>
      <w:r>
        <w:rPr>
          <w:rFonts w:ascii="Times New Roman" w:eastAsia="SimSun"/>
          <w:color w:val="000000"/>
          <w:sz w:val="24"/>
          <w:szCs w:val="24"/>
        </w:rPr>
        <w:t xml:space="preserve">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σ(3) =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0x1D0B14E4DB018FED</w:t>
      </w:r>
      <w:r>
        <w:rPr>
          <w:rFonts w:ascii="Times New Roman" w:eastAsia="SimSun"/>
          <w:color w:val="000000"/>
          <w:sz w:val="24"/>
          <w:szCs w:val="24"/>
        </w:rPr>
        <w:t xml:space="preserve">. Каждый из семи бекендов полиглот-ядра обязан воспроизвести их бит в бит; расхождение означало бы дефект целочисленной арифметики — знаковый сдвиг, потерю старших битов без 64-битных беззнаковых типов или неверную эмуляцию переполнения.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(iii) Инкрементальность. Индукция по ходам. Определим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h(P)</w:t>
      </w:r>
      <w:r>
        <w:rPr>
          <w:rFonts w:ascii="Times New Roman" w:eastAsia="SimSun"/>
          <w:color w:val="000000"/>
          <w:sz w:val="24"/>
          <w:szCs w:val="24"/>
        </w:rPr>
        <w:t xml:space="preserve"> как XOR ключей всех атомов позиции: по одному ключу на каждую фигуру на клетке, плюс ключ стороны (если ход чёрных), ключ рокировочного состояния (из 16) и ключ файла взятия на проходе (индекс 0 = «нет»). Пусть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Δ(m)</w:t>
      </w:r>
      <w:r>
        <w:rPr>
          <w:rFonts w:ascii="Times New Roman" w:eastAsia="SimSun"/>
          <w:color w:val="000000"/>
          <w:sz w:val="24"/>
          <w:szCs w:val="24"/>
        </w:rPr>
        <w:t xml:space="preserve"> — XOR ключей всех атомов, изменённых ходом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m</w:t>
      </w:r>
      <w:r>
        <w:rPr>
          <w:rFonts w:ascii="Times New Roman" w:eastAsia="SimSun"/>
          <w:color w:val="000000"/>
          <w:sz w:val="24"/>
          <w:szCs w:val="24"/>
        </w:rPr>
        <w:t xml:space="preserve">: ушедшая фигура с поля-источника, пришедшая фигура на поле-цель, взятая фигура, пешка, побитая на проходе, превращение, ладьи при рокировке, старое и новое рокировочное состояние, старый и новый ep-ключ, ключ стороны (дважды). Каждый удалённый атом входит в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h(P) ⊕ Δ(m)</w:t>
      </w:r>
      <w:r>
        <w:rPr>
          <w:rFonts w:ascii="Times New Roman" w:eastAsia="SimSun"/>
          <w:color w:val="000000"/>
          <w:sz w:val="24"/>
          <w:szCs w:val="24"/>
        </w:rPr>
        <w:t xml:space="preserve"> чётное число раз и исчезает, каждый добавленный — нечётное и появляется; атомы, не затронутые ходом, в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Δ</w:t>
      </w:r>
      <w:r>
        <w:rPr>
          <w:rFonts w:ascii="Times New Roman" w:eastAsia="SimSun"/>
          <w:color w:val="000000"/>
          <w:sz w:val="24"/>
          <w:szCs w:val="24"/>
        </w:rPr>
        <w:t xml:space="preserve"> не входят вовсе. Базис индукции — начальная позиция, шаг — произвольный легальный ход; рокировки и взятия на проходе обработаны отдельными ветвями (четыре случая ладей, ep-индекс — файл плюс единица, а не клетка). Следовательно, инкрементальный хеш после make совпадает с полным пересчётом на каждом шаге.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Проверка C9 исполняет 40 случайных партий до 60 полуходов (фиксированное зерно 42): после каждого полухода инкрементальный хеш сравнивается с пересчитанным с нуля — расхождений нет; дополнительно unmake каждого из первых восьми ходов восстанавливает и FEN, и хеш начальной позиции точно. Отметим историческую деталь, зафиксированную теоремой как часть определения: эпизод с индексацией ep-ключа клеткой вместо файла дал бы ложные коллизии внутри одного файла — индексация файлом исправлена и закреплена протоколом.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(iv) Граница коллизий. Для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</w:t>
      </w:r>
      <w:r>
        <w:rPr>
          <w:rFonts w:ascii="Times New Roman" w:eastAsia="SimSun"/>
          <w:color w:val="000000"/>
          <w:sz w:val="24"/>
          <w:szCs w:val="24"/>
        </w:rPr>
        <w:t xml:space="preserve"> независимо и равномерно выбранных 64-битных значений вероятность хотя бы одной коллизии не превосходит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C(n, 2)/2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64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= n(n-1)/2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65</w:t>
      </w:r>
      <w:r>
        <w:rPr>
          <w:rFonts w:ascii="Times New Roman" w:eastAsia="SimSun"/>
          <w:color w:val="000000"/>
          <w:sz w:val="24"/>
          <w:szCs w:val="24"/>
        </w:rPr>
        <w:t xml:space="preserve"> по объединённой границе. При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 = 10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9</w:t>
      </w:r>
      <w:r>
        <w:rPr>
          <w:rFonts w:ascii="Times New Roman" w:eastAsia="SimSun"/>
          <w:color w:val="000000"/>
          <w:sz w:val="24"/>
          <w:szCs w:val="24"/>
        </w:rPr>
        <w:t xml:space="preserve"> это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10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18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/2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65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≈ 0.0271</w:t>
      </w:r>
      <w:r>
        <w:rPr>
          <w:rFonts w:ascii="Times New Roman" w:eastAsia="SimSun"/>
          <w:color w:val="000000"/>
          <w:sz w:val="24"/>
          <w:szCs w:val="24"/>
        </w:rPr>
        <w:t xml:space="preserve">; при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 = 10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6</w:t>
      </w:r>
      <w:r>
        <w:rPr>
          <w:rFonts w:ascii="Times New Roman" w:eastAsia="SimSun"/>
          <w:color w:val="000000"/>
          <w:sz w:val="24"/>
          <w:szCs w:val="24"/>
        </w:rPr>
        <w:t xml:space="preserve"> —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2.7 × 10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-8</w:t>
      </w:r>
      <w:r>
        <w:rPr>
          <w:rFonts w:ascii="Times New Roman" w:eastAsia="SimSun"/>
          <w:color w:val="000000"/>
          <w:sz w:val="24"/>
          <w:szCs w:val="24"/>
        </w:rPr>
        <w:t xml:space="preserve">. Практические режимы лаборатории — поиск до глубины 6 и ретроградные базы порядка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4 × 10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6</w:t>
      </w:r>
      <w:r>
        <w:rPr>
          <w:rFonts w:ascii="Times New Roman" w:eastAsia="SimSun"/>
          <w:color w:val="000000"/>
          <w:sz w:val="24"/>
          <w:szCs w:val="24"/>
        </w:rPr>
        <w:t xml:space="preserve"> состояний — лежат глубоко во втором режиме. Теорема доказана.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Протокольные данные</w:t>
      </w:r>
      <w:bookmarkEnd w:id="100003"/>
    </w:p>
    <w:p>
      <w:pPr>
        <w:keepNext/>
        <w:spacing w:after="60" w:before="160" w:line="312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Эталонные значения splitmix64 (кросс-языковой сертификат)</w:t>
      </w:r>
    </w:p>
    <w:tbl>
      <w:tblPr>
        <w:tblW w:type="pct" w:w="100%"/>
        <w:tblBorders>
          <w:top w:val="single" w:color="555555" w:sz="6"/>
          <w:left w:val="none" w:color="FFFFFF" w:sz="0"/>
          <w:bottom w:val="single" w:color="555555" w:sz="6"/>
          <w:right w:val="none" w:color="FFFFFF" w:sz="0"/>
          <w:insideH w:val="single" w:color="CCCCCC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9.103170806643085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Величина</w:t>
            </w:r>
          </w:p>
        </w:tc>
        <w:tc>
          <w:tcPr>
            <w:tcW w:type="pct" w:w="44.89682919335691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49.10317080664308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splitmix64(1)</w:t>
            </w:r>
          </w:p>
        </w:tc>
        <w:tc>
          <w:tcPr>
            <w:tcW w:type="pct" w:w="44.8968291933569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0x910A2DEC89025CC1</w:t>
            </w:r>
          </w:p>
        </w:tc>
      </w:tr>
      <w:tr>
        <w:trPr>
          <w:cantSplit/>
        </w:trPr>
        <w:tc>
          <w:tcPr>
            <w:tcW w:type="pct" w:w="49.10317080664308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splitmix64(2)</w:t>
            </w:r>
          </w:p>
        </w:tc>
        <w:tc>
          <w:tcPr>
            <w:tcW w:type="pct" w:w="44.8968291933569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0x975835DE1C9756CE</w:t>
            </w:r>
          </w:p>
        </w:tc>
      </w:tr>
      <w:tr>
        <w:trPr>
          <w:cantSplit/>
        </w:trPr>
        <w:tc>
          <w:tcPr>
            <w:tcW w:type="pct" w:w="49.10317080664308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splitmix64(3)</w:t>
            </w:r>
          </w:p>
        </w:tc>
        <w:tc>
          <w:tcPr>
            <w:tcW w:type="pct" w:w="44.8968291933569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0x1D0B14E4DB018FED</w:t>
            </w:r>
          </w:p>
        </w:tc>
      </w:tr>
      <w:tr>
        <w:trPr>
          <w:cantSplit/>
        </w:trPr>
        <w:tc>
          <w:tcPr>
            <w:tcW w:type="pct" w:w="49.10317080664308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зерно таблицы ключей</w:t>
            </w:r>
          </w:p>
        </w:tc>
        <w:tc>
          <w:tcPr>
            <w:tcW w:type="pct" w:w="44.8968291933569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0x1234567890ABCDEF</w:t>
            </w:r>
          </w:p>
        </w:tc>
      </w:tr>
      <w:tr>
        <w:trPr>
          <w:cantSplit/>
        </w:trPr>
        <w:tc>
          <w:tcPr>
            <w:tcW w:type="pct" w:w="49.10317080664308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золотая константа</w:t>
            </w:r>
          </w:p>
        </w:tc>
        <w:tc>
          <w:tcPr>
            <w:tcW w:type="pct" w:w="44.8968291933569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0x9E3779B97F4A7C15</w:t>
            </w:r>
          </w:p>
        </w:tc>
      </w:tr>
    </w:tbl>
    <w:p>
      <w:pPr>
        <w:spacing w:after="120"/>
      </w:pPr>
    </w:p>
    <w:p>
      <w:pPr>
        <w:keepNext/>
        <w:spacing w:after="60" w:before="160" w:line="312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Состав таблицы ключей (итого 1562 слова)</w:t>
      </w:r>
    </w:p>
    <w:tbl>
      <w:tblPr>
        <w:tblW w:type="pct" w:w="100%"/>
        <w:tblBorders>
          <w:top w:val="single" w:color="555555" w:sz="6"/>
          <w:left w:val="none" w:color="FFFFFF" w:sz="0"/>
          <w:bottom w:val="single" w:color="555555" w:sz="6"/>
          <w:right w:val="none" w:color="FFFFFF" w:sz="0"/>
          <w:insideH w:val="single" w:color="CCCCCC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.476551599292474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Группа</w:t>
            </w:r>
          </w:p>
        </w:tc>
        <w:tc>
          <w:tcPr>
            <w:tcW w:type="pct" w:w="22.666700242278495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Число ключей</w:t>
            </w:r>
          </w:p>
        </w:tc>
        <w:tc>
          <w:tcPr>
            <w:tcW w:type="pct" w:w="40.85674815842903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Индексация</w:t>
            </w:r>
          </w:p>
        </w:tc>
      </w:tr>
      <w:tr>
        <w:trPr>
          <w:cantSplit/>
        </w:trPr>
        <w:tc>
          <w:tcPr>
            <w:tcW w:type="pct" w:w="30.4765515992924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фигурные</w:t>
            </w:r>
          </w:p>
        </w:tc>
        <w:tc>
          <w:tcPr>
            <w:tcW w:type="pct" w:w="22.66670024227849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1536</w:t>
            </w:r>
          </w:p>
        </w:tc>
        <w:tc>
          <w:tcPr>
            <w:tcW w:type="pct" w:w="40.8567481584290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тип-цвет × 0x88-клетка</w:t>
            </w:r>
          </w:p>
        </w:tc>
      </w:tr>
      <w:tr>
        <w:trPr>
          <w:cantSplit/>
        </w:trPr>
        <w:tc>
          <w:tcPr>
            <w:tcW w:type="pct" w:w="30.4765515992924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сторона</w:t>
            </w:r>
          </w:p>
        </w:tc>
        <w:tc>
          <w:tcPr>
            <w:tcW w:type="pct" w:w="22.66670024227849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40.8567481584290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XOR при ходе чёрных</w:t>
            </w:r>
          </w:p>
        </w:tc>
      </w:tr>
      <w:tr>
        <w:trPr>
          <w:cantSplit/>
        </w:trPr>
        <w:tc>
          <w:tcPr>
            <w:tcW w:type="pct" w:w="30.4765515992924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рокировка</w:t>
            </w:r>
          </w:p>
        </w:tc>
        <w:tc>
          <w:tcPr>
            <w:tcW w:type="pct" w:w="22.66670024227849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type="pct" w:w="40.8567481584290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битовая маска прав</w:t>
            </w:r>
          </w:p>
        </w:tc>
      </w:tr>
      <w:tr>
        <w:trPr>
          <w:cantSplit/>
        </w:trPr>
        <w:tc>
          <w:tcPr>
            <w:tcW w:type="pct" w:w="30.4765515992924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взятие на проходе</w:t>
            </w:r>
          </w:p>
        </w:tc>
        <w:tc>
          <w:tcPr>
            <w:tcW w:type="pct" w:w="22.66670024227849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40.8567481584290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 = нет, 1..8 = файл + 1</w:t>
            </w:r>
          </w:p>
        </w:tc>
      </w:tr>
    </w:tbl>
    <w:p>
      <w:pPr>
        <w:spacing w:after="120"/>
      </w:pPr>
    </w:p>
    <w:p>
      <w:pPr>
        <w:keepNext/>
        <w:spacing w:after="60" w:before="160" w:line="312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Результаты проверки C9</w:t>
      </w:r>
    </w:p>
    <w:tbl>
      <w:tblPr>
        <w:tblW w:type="pct" w:w="100%"/>
        <w:tblBorders>
          <w:top w:val="single" w:color="555555" w:sz="6"/>
          <w:left w:val="none" w:color="FFFFFF" w:sz="0"/>
          <w:bottom w:val="single" w:color="555555" w:sz="6"/>
          <w:right w:val="none" w:color="FFFFFF" w:sz="0"/>
          <w:insideH w:val="single" w:color="CCCCCC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3.0050601121800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40.99493988781993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pct" w:w="53.005060112180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инкрементальность (40 партий × ≤ 60 полуходов)</w:t>
            </w:r>
          </w:p>
        </w:tc>
        <w:tc>
          <w:tcPr>
            <w:tcW w:type="pct" w:w="40.9949398878199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полное совпадение с пересчётом</w:t>
            </w:r>
          </w:p>
        </w:tc>
      </w:tr>
      <w:tr>
        <w:trPr>
          <w:cantSplit/>
        </w:trPr>
        <w:tc>
          <w:tcPr>
            <w:tcW w:type="pct" w:w="53.005060112180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unmake-восстановление</w:t>
            </w:r>
          </w:p>
        </w:tc>
        <w:tc>
          <w:tcPr>
            <w:tcW w:type="pct" w:w="40.9949398878199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FEN и хеш точны после каждого хода</w:t>
            </w:r>
          </w:p>
        </w:tc>
      </w:tr>
      <w:tr>
        <w:trPr>
          <w:cantSplit/>
        </w:trPr>
        <w:tc>
          <w:tcPr>
            <w:tcW w:type="pct" w:w="53.005060112180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round-trip обратной функции</w:t>
            </w:r>
          </w:p>
        </w:tc>
        <w:tc>
          <w:tcPr>
            <w:tcW w:type="pct" w:w="40.9949398878199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x = 1..2000, без исключений</w:t>
            </w:r>
          </w:p>
        </w:tc>
      </w:tr>
      <w:tr>
        <w:trPr>
          <w:cantSplit/>
        </w:trPr>
        <w:tc>
          <w:tcPr>
            <w:tcW w:type="pct" w:w="53.005060112180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граница коллизий при n = 10^9</w:t>
            </w:r>
          </w:p>
        </w:tc>
        <w:tc>
          <w:tcPr>
            <w:tcW w:type="pct" w:w="40.9949398878199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0.0271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Итог доказанного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Мы доказали биективность splitmix64 с явной обратной функцией, зафиксировали состав и зерно таблицы из 1562 ключей как кросс-языковой эталон, доказали инкрементальное тождество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h(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make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(P,m)) = h(P) ⊕ Δ(m)</w:t>
      </w:r>
      <w:r>
        <w:rPr>
          <w:rFonts w:ascii="Times New Roman" w:eastAsia="SimSun"/>
          <w:color w:val="000000"/>
          <w:sz w:val="24"/>
          <w:szCs w:val="24"/>
        </w:rPr>
        <w:t xml:space="preserve"> индукцией по ходам с явной дельтой и привели точную границу коллизий. Тем самым слой KLEIN получил надёжную память: таблицы транспозиций, ретроградные базы T11 и детерминизм поиска T10 оперируют хешем, корректность которого сертификатно проверена и воспроизводима на семи языках.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Проверка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python3 dynamics.py --run C9 (инкрементальность, unmake, round-trip обратной функции); python3 dynamics.py --run C7 (обратная функция на отрезке 1..2000); строка C9 полиглот-ядра во всех семи языках обязана выдать [PASS] с теми же эталонными константами. Время исполнения C9 — доли секунды даже на телефоне.</w:t>
      </w:r>
    </w:p>
    <w:p>
      <w:pPr>
        <w:pBdr>
          <w:top w:val="single" w:color="999999" w:sz="6" w:space="6"/>
        </w:pBdr>
        <w:spacing w:before="240"/>
      </w:pPr>
      <w:r>
        <w:rPr>
          <w:rFonts w:ascii="Times New Roman" w:eastAsia="SimSun"/>
          <w:color w:val="606060"/>
          <w:sz w:val="18"/>
          <w:szCs w:val="18"/>
        </w:rPr>
        <w:t xml:space="preserve">© 2026 chess-dynamics-lab · Индивидуальная исключительная лицензия</w:t>
      </w:r>
    </w:p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Sun"/>
      <w:b/>
      <w:bCs/>
      <w:color w:val="000000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T09 — Хеширование Цобриста: биективность splitmix64 и инкрементальность</dc:title>
  <dc:creator>Isaev Iskhak Khamzatovich</dc:creator>
  <dc:description>Монография T09 программы chess-dynamics-lab — слой KLEIN, память потока</dc:description>
  <cp:lastModifiedBy>Un-named</cp:lastModifiedBy>
  <cp:revision>1</cp:revision>
  <dcterms:created xsi:type="dcterms:W3CDTF">2026-09-29T21:58:05.351Z</dcterms:created>
  <dcterms:modified xsi:type="dcterms:W3CDTF">2026-09-29T21:58:05.351Z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