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left w:type="dxa" w:w="1701"/>
              <w:right w:type="dxa" w:w="1701"/>
            </w:tcMar>
            <w:vAlign w:val="top"/>
          </w:tcPr>
          <w:p>
            <w:pPr>
              <w:spacing w:before="3234"/>
            </w:pPr>
          </w:p>
          <w:p>
            <w:pPr>
              <w:spacing w:after="400" w:line="414" w:lineRule="atLeast"/>
              <w:jc w:val="center"/>
            </w:pPr>
            <w:r>
              <w:rPr>
                <w:rFonts w:ascii="Times New Roman" w:eastAsia="SimSun"/>
                <w:color w:val="162032"/>
                <w:spacing w:val="60"/>
                <w:sz w:val="36"/>
                <w:szCs w:val="36"/>
              </w:rPr>
              <w:t xml:space="preserve">CHESS-DYNAMICS-LAB</w:t>
            </w:r>
          </w:p>
          <w:p>
            <w:pPr>
              <w:spacing w:after="120" w:line="644" w:lineRule="atLeast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56"/>
                <w:szCs w:val="56"/>
              </w:rPr>
              <w:t xml:space="preserve">Границы альфа-бета:</w:t>
            </w:r>
          </w:p>
          <w:p>
            <w:pPr>
              <w:spacing w:after="120" w:line="644" w:lineRule="atLeast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56"/>
                <w:szCs w:val="56"/>
              </w:rPr>
              <w:t xml:space="preserve">ветвление, упорядочивание</w:t>
            </w:r>
          </w:p>
          <w:p>
            <w:pPr>
              <w:spacing w:after="300" w:line="644" w:lineRule="atLeast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56"/>
                <w:szCs w:val="56"/>
              </w:rPr>
              <w:t xml:space="preserve">частиц и детерминизм поиска</w:t>
            </w:r>
          </w:p>
          <w:p>
            <w:pPr>
              <w:spacing w:after="200" w:line="299" w:lineRule="atLeast"/>
              <w:jc w:val="center"/>
            </w:pPr>
            <w:r>
              <w:rPr>
                <w:rFonts w:ascii="Times New Roman" w:eastAsia="SimSun"/>
                <w:color w:val="404040"/>
                <w:sz w:val="26"/>
                <w:szCs w:val="26"/>
              </w:rPr>
              <w:t xml:space="preserve">Монография T10 программы chess-dynamics-lab — полная игра</w:t>
            </w:r>
          </w:p>
          <w:p>
            <w:pPr>
              <w:spacing w:before="1092"/>
            </w:pPr>
          </w:p>
          <w:tbl>
            <w:tblPr>
              <w:tblW w:type="pct" w:w="55%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  <w:gridCol w:w="100"/>
            </w:tblGrid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Автор: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Исаев Исхак Хамзатович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Серия: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Монография T10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Программа: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chess-dynamics-lab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Слой: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полная игра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Лицензия: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Индивидуальная исключительная</w:t>
                  </w:r>
                </w:p>
              </w:tc>
            </w:tr>
          </w:tbl>
          <w:p>
            <w:pPr>
              <w:spacing w:before="4141"/>
            </w:pPr>
          </w:p>
          <w:p>
            <w:pPr>
              <w:jc w:val="center"/>
            </w:pPr>
            <w:r>
              <w:rPr>
                <w:rFonts w:ascii="Times New Roman" w:eastAsia="SimSun"/>
                <w:color w:val="404040"/>
                <w:sz w:val="20"/>
                <w:szCs w:val="20"/>
              </w:rPr>
              <w:t xml:space="preserve">© 2026 chess-dynamics-lab · Индивидуальная исключительная лицензия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eastAsia="SimSun"/>
          <w:b/>
          <w:bCs/>
          <w:sz w:val="32"/>
          <w:szCs w:val="32"/>
        </w:rPr>
        <w:t xml:space="preserve">Содержание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Постановка задачи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Теорема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Доказательство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Протокольные данные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Итог доказанного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Проверка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SimSun"/>
          <w:i/>
          <w:iCs/>
          <w:color w:val="888888"/>
          <w:sz w:val="18"/>
          <w:szCs w:val="18"/>
        </w:rPr>
        <w:t xml:space="preserve">Примечание: оглавление построено на кодах полей. После редактирования документа щёлкните по оглавлению правой кнопкой мыши и выберите «Обновить поле», чтобы актуализировать номера страниц.</w:t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spacing w:after="240"/>
        <w:jc w:val="center"/>
      </w:pPr>
      <w:r>
        <w:rPr>
          <w:rFonts w:ascii="Times New Roman" w:eastAsia="SimSun"/>
          <w:b/>
          <w:bCs/>
          <w:color w:val="8B7E5A"/>
          <w:sz w:val="20"/>
          <w:szCs w:val="20"/>
        </w:rPr>
        <w:t xml:space="preserve">МОНОГРАФИЯ T10 · ПРОГРАММА CHESS-DYNAMICS-LAB</w:t>
      </w:r>
    </w:p>
    <w:p>
      <w:pPr>
        <w:spacing w:after="160" w:line="391" w:lineRule="atLeast"/>
        <w:jc w:val="center"/>
      </w:pPr>
      <w:r>
        <w:rPr>
          <w:rFonts w:ascii="Times New Roman" w:eastAsia="SimSun"/>
          <w:b/>
          <w:bCs/>
          <w:color w:val="000000"/>
          <w:sz w:val="34"/>
          <w:szCs w:val="34"/>
        </w:rPr>
        <w:t xml:space="preserve">Границы альфа-бета: ветвление, упорядочивание частиц и детерминизм поиска</w:t>
      </w:r>
    </w:p>
    <w:p>
      <w:pPr>
        <w:spacing w:after="120"/>
        <w:jc w:val="center"/>
      </w:pPr>
      <w:r>
        <w:rPr>
          <w:rFonts w:ascii="Times New Roman" w:eastAsia="SimSun"/>
          <w:color w:val="404040"/>
          <w:sz w:val="24"/>
          <w:szCs w:val="24"/>
        </w:rPr>
        <w:t xml:space="preserve">Монография T10 программы chess-dynamics-lab — полная игра</w:t>
      </w:r>
    </w:p>
    <w:p>
      <w:pPr>
        <w:spacing w:after="40"/>
        <w:jc w:val="center"/>
      </w:pPr>
      <w:r>
        <w:rPr>
          <w:rFonts w:ascii="Times New Roman" w:eastAsia="SimSun"/>
          <w:color w:val="000000"/>
          <w:sz w:val="22"/>
          <w:szCs w:val="22"/>
        </w:rPr>
        <w:t xml:space="preserve">Исаев Исхак Хамзатович</w:t>
      </w:r>
    </w:p>
    <w:p>
      <w:pPr>
        <w:spacing w:after="60"/>
        <w:jc w:val="center"/>
      </w:pPr>
      <w:r>
        <w:rPr>
          <w:rFonts w:ascii="Times New Roman" w:eastAsia="SimSun"/>
          <w:color w:val="606060"/>
          <w:sz w:val="18"/>
          <w:szCs w:val="18"/>
        </w:rPr>
        <w:t xml:space="preserve">Ключевые слова: альфа-бета, негамакс, ветвление, упорядочивание ходов, детерминизм</w:t>
      </w:r>
    </w:p>
    <w:p>
      <w:pPr>
        <w:pBdr>
          <w:bottom w:val="single" w:color="8B7E5A" w:sz="8" w:space="4"/>
        </w:pBdr>
        <w:spacing w:after="240"/>
      </w:pPr>
    </w:p>
    <w:p>
      <w:pPr>
        <w:pStyle w:val="Heading1"/>
        <w:spacing w:after="160" w:before="360" w:line="312"/>
      </w:pPr>
      <w:bookmarkStart w:id="100000" w:name="_Toc100000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Постановка задачи</w:t>
      </w:r>
      <w:bookmarkEnd w:id="100000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Полная игра — второй контур движка: поиск минимизирует лагранжеву энергию T05 по дереву легальных ходов. Наивный минимакс перебирает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b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d</w:t>
      </w:r>
      <w:r>
        <w:rPr>
          <w:rFonts w:ascii="Times New Roman" w:eastAsia="SimSun"/>
          <w:color w:val="000000"/>
          <w:sz w:val="24"/>
          <w:szCs w:val="24"/>
        </w:rPr>
        <w:t xml:space="preserve"> листьев, где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b</w:t>
      </w:r>
      <w:r>
        <w:rPr>
          <w:rFonts w:ascii="Times New Roman" w:eastAsia="SimSun"/>
          <w:color w:val="000000"/>
          <w:sz w:val="24"/>
          <w:szCs w:val="24"/>
        </w:rPr>
        <w:t xml:space="preserve"> — среднее ветвление (для шахмат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b ≈ 30-35</w:t>
      </w:r>
      <w:r>
        <w:rPr>
          <w:rFonts w:ascii="Times New Roman" w:eastAsia="SimSun"/>
          <w:color w:val="000000"/>
          <w:sz w:val="24"/>
          <w:szCs w:val="24"/>
        </w:rPr>
        <w:t xml:space="preserve">), и уже при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d = 6</w:t>
      </w:r>
      <w:r>
        <w:rPr>
          <w:rFonts w:ascii="Times New Roman" w:eastAsia="SimSun"/>
          <w:color w:val="000000"/>
          <w:sz w:val="24"/>
          <w:szCs w:val="24"/>
        </w:rPr>
        <w:t xml:space="preserve"> требует миллиардов узлов. Альфа-бета отсекает ветви, которые заведомо не могут повлиять на выбор хода в корне; масштаб выигрыша — от нуля до извлечения квадратного корня из экспоненты — зависит исключительно от порядка рассмотрения ходов.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В модели частиц порядок ходов — это кинематика: первыми рассматриваются ходы частиц с наибольшим ожидаемым изменением энергии. Практический носитель идеи — эвристика MVV-LVA (most valuable victim — least valuable aggressor) с кинетическим бонусом централизации: взятие дорогой фигуры дешёвой частицей — самый вероятный источник резкого падения энергии, поэтому такие ходы идут первыми и порождают отсечения раньше. Порядок не меняет значения корня — только путь к нему и стоимость пути.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Третье требование — детерминизм: одинаковый вход обязан давать одинаковый ход, одинаковое число узлов и одинаковую главную вариацию. Для сертифицируемой лаборатории это не вопрос стиля, а условие воспроизводимости протокола: сравнение узлов и линий между запусками, машинами и языками имеет смысл только при полностью детерминированном поиске.</w:t>
      </w:r>
    </w:p>
    <w:p>
      <w:pPr>
        <w:pStyle w:val="Heading1"/>
        <w:spacing w:after="160" w:before="360" w:line="312"/>
      </w:pPr>
      <w:bookmarkStart w:id="100001" w:name="_Toc100001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Теорема</w:t>
      </w:r>
      <w:bookmarkEnd w:id="100001"/>
    </w:p>
    <w:p>
      <w:pPr>
        <w:pBdr>
          <w:left w:val="single" w:color="8B7E5A" w:sz="24" w:space="8"/>
        </w:pBdr>
        <w:shd w:fill="F6F4EF" w:val="clear"/>
        <w:spacing w:after="120" w:before="120" w:line="312"/>
        <w:ind w:left="240" w:right="1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Теорема T10 (корректность, границы и детерминизм альфа-бета).</w:t>
      </w:r>
      <w:r>
        <w:rPr>
          <w:sz w:val="24"/>
          <w:szCs w:val="24"/>
        </w:rPr>
        <w:t xml:space="preserve"> </w:t>
      </w:r>
      <w:r>
        <w:rPr>
          <w:rFonts w:ascii="Times New Roman" w:eastAsia="SimSun"/>
          <w:color w:val="000000"/>
          <w:sz w:val="24"/>
          <w:szCs w:val="24"/>
        </w:rPr>
        <w:t xml:space="preserve">Пусть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T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d</w:t>
      </w:r>
      <w:r>
        <w:rPr>
          <w:rFonts w:ascii="Times New Roman" w:eastAsia="SimSun"/>
          <w:color w:val="000000"/>
          <w:sz w:val="24"/>
          <w:szCs w:val="24"/>
        </w:rPr>
        <w:t xml:space="preserve"> — дерево легальных продолжений глубины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d</w:t>
      </w:r>
      <w:r>
        <w:rPr>
          <w:rFonts w:ascii="Times New Roman" w:eastAsia="SimSun"/>
          <w:color w:val="000000"/>
          <w:sz w:val="24"/>
          <w:szCs w:val="24"/>
        </w:rPr>
        <w:t xml:space="preserve"> из позиции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P</w:t>
      </w:r>
      <w:r>
        <w:rPr>
          <w:rFonts w:ascii="Times New Roman" w:eastAsia="SimSun"/>
          <w:color w:val="000000"/>
          <w:sz w:val="24"/>
          <w:szCs w:val="24"/>
        </w:rPr>
        <w:t xml:space="preserve">,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b</w:t>
      </w:r>
      <w:r>
        <w:rPr>
          <w:rFonts w:ascii="Times New Roman" w:eastAsia="SimSun"/>
          <w:color w:val="000000"/>
          <w:sz w:val="24"/>
          <w:szCs w:val="24"/>
        </w:rPr>
        <w:t xml:space="preserve"> — ветвление. Тогда: (i) негамакс с окном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(α, β)</w:t>
      </w:r>
      <w:r>
        <w:rPr>
          <w:rFonts w:ascii="Times New Roman" w:eastAsia="SimSun"/>
          <w:color w:val="000000"/>
          <w:sz w:val="24"/>
          <w:szCs w:val="24"/>
        </w:rPr>
        <w:t xml:space="preserve"> возвращает то же значение и тот же лучший ход, что и полный минимакс; (ii) в худшем порядке ходов число посещённых листьев равно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b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d</w:t>
      </w:r>
      <w:r>
        <w:rPr>
          <w:rFonts w:ascii="Times New Roman" w:eastAsia="SimSun"/>
          <w:color w:val="000000"/>
          <w:sz w:val="24"/>
          <w:szCs w:val="24"/>
        </w:rPr>
        <w:t xml:space="preserve">, в лучшем —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b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⌈ d/2 ⌉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 + b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⌊ d/2 ⌋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 - 1</w:t>
      </w:r>
      <w:r>
        <w:rPr>
          <w:rFonts w:ascii="Times New Roman" w:eastAsia="SimSun"/>
          <w:color w:val="000000"/>
          <w:sz w:val="24"/>
          <w:szCs w:val="24"/>
        </w:rPr>
        <w:t xml:space="preserve">; (iii) с упорядочиванием MVV-LVA и централизацией на начальной позиции поиск посещает: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d = 2</w:t>
      </w:r>
      <w:r>
        <w:rPr>
          <w:rFonts w:ascii="Times New Roman" w:eastAsia="SimSun"/>
          <w:color w:val="000000"/>
          <w:sz w:val="24"/>
          <w:szCs w:val="24"/>
        </w:rPr>
        <w:t xml:space="preserve"> — 79 узлов против 421 полного дерева,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d = 3</w:t>
      </w:r>
      <w:r>
        <w:rPr>
          <w:rFonts w:ascii="Times New Roman" w:eastAsia="SimSun"/>
          <w:color w:val="000000"/>
          <w:sz w:val="24"/>
          <w:szCs w:val="24"/>
        </w:rPr>
        <w:t xml:space="preserve"> — 731 против 9323,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d = 4</w:t>
      </w:r>
      <w:r>
        <w:rPr>
          <w:rFonts w:ascii="Times New Roman" w:eastAsia="SimSun"/>
          <w:color w:val="000000"/>
          <w:sz w:val="24"/>
          <w:szCs w:val="24"/>
        </w:rPr>
        <w:t xml:space="preserve"> — 3345 против 206604,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d = 5</w:t>
      </w:r>
      <w:r>
        <w:rPr>
          <w:rFonts w:ascii="Times New Roman" w:eastAsia="SimSun"/>
          <w:color w:val="000000"/>
          <w:sz w:val="24"/>
          <w:szCs w:val="24"/>
        </w:rPr>
        <w:t xml:space="preserve"> — 19753 против 5072213 (выигрыш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× 5.3</w:t>
      </w:r>
      <w:r>
        <w:rPr>
          <w:rFonts w:ascii="Times New Roman" w:eastAsia="SimSun"/>
          <w:color w:val="000000"/>
          <w:sz w:val="24"/>
          <w:szCs w:val="24"/>
        </w:rPr>
        <w:t xml:space="preserve">,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× 12.8</w:t>
      </w:r>
      <w:r>
        <w:rPr>
          <w:rFonts w:ascii="Times New Roman" w:eastAsia="SimSun"/>
          <w:color w:val="000000"/>
          <w:sz w:val="24"/>
          <w:szCs w:val="24"/>
        </w:rPr>
        <w:t xml:space="preserve">,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× 61.8</w:t>
      </w:r>
      <w:r>
        <w:rPr>
          <w:rFonts w:ascii="Times New Roman" w:eastAsia="SimSun"/>
          <w:color w:val="000000"/>
          <w:sz w:val="24"/>
          <w:szCs w:val="24"/>
        </w:rPr>
        <w:t xml:space="preserve">,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× 256.8</w:t>
      </w:r>
      <w:r>
        <w:rPr>
          <w:rFonts w:ascii="Times New Roman" w:eastAsia="SimSun"/>
          <w:color w:val="000000"/>
          <w:sz w:val="24"/>
          <w:szCs w:val="24"/>
        </w:rPr>
        <w:t xml:space="preserve"> соответственно); (iv) при тотальном порядке на множестве ходов поиск детерминирован: ход, значение и число узлов воспроизводимы бит в бит.</w:t>
      </w:r>
    </w:p>
    <w:p>
      <w:pPr>
        <w:pStyle w:val="Heading1"/>
        <w:spacing w:after="160" w:before="360" w:line="312"/>
      </w:pPr>
      <w:bookmarkStart w:id="100002" w:name="_Toc100002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Доказательство</w:t>
      </w:r>
      <w:bookmarkEnd w:id="100002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(i) Корректность. Негамакс-тождество 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val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(P) = 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max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m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 [-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val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(P · m)]</w:t>
      </w:r>
      <w:r>
        <w:rPr>
          <w:rFonts w:ascii="Times New Roman" w:eastAsia="SimSun"/>
          <w:color w:val="000000"/>
          <w:sz w:val="24"/>
          <w:szCs w:val="24"/>
        </w:rPr>
        <w:t xml:space="preserve"> сводит минимакс к единой форме для обеих сторон: оценка всегда с точки зрения стороны на ходу, родитель максимизирует минус ребёнка. Индукция по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d</w:t>
      </w:r>
      <w:r>
        <w:rPr>
          <w:rFonts w:ascii="Times New Roman" w:eastAsia="SimSun"/>
          <w:color w:val="000000"/>
          <w:sz w:val="24"/>
          <w:szCs w:val="24"/>
        </w:rPr>
        <w:t xml:space="preserve">: отсечение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β</w:t>
      </w:r>
      <w:r>
        <w:rPr>
          <w:rFonts w:ascii="Times New Roman" w:eastAsia="SimSun"/>
          <w:color w:val="000000"/>
          <w:sz w:val="24"/>
          <w:szCs w:val="24"/>
        </w:rPr>
        <w:t xml:space="preserve">-типа возвращает границу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β</w:t>
      </w:r>
      <w:r>
        <w:rPr>
          <w:rFonts w:ascii="Times New Roman" w:eastAsia="SimSun"/>
          <w:color w:val="000000"/>
          <w:sz w:val="24"/>
          <w:szCs w:val="24"/>
        </w:rPr>
        <w:t xml:space="preserve">, а не точное значение, но по индукционному предположению точное значение отсечённого поддерева лежит вне окна, необходимого родителю, и потому не может изменить ни значение корня, ни аргумент максимума. Это классический аргумент Кнута–Мура (1975) в негамакс-форме; добавления лаборатории — квиесценция на листьях (перебор только взятий до успокоения позиции) и кодирование мата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-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MATE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 + ply</w:t>
      </w:r>
      <w:r>
        <w:rPr>
          <w:rFonts w:ascii="Times New Roman" w:eastAsia="SimSun"/>
          <w:color w:val="000000"/>
          <w:sz w:val="24"/>
          <w:szCs w:val="24"/>
        </w:rPr>
        <w:t xml:space="preserve">, предпочитающее более короткий мат, — не изменяют аргумент, поскольку сохраняют монотонность оценки по дереву. Правило 50 ходов (счётчик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≥ 100</w:t>
      </w:r>
      <w:r>
        <w:rPr>
          <w:rFonts w:ascii="Times New Roman" w:eastAsia="SimSun"/>
          <w:color w:val="000000"/>
          <w:sz w:val="24"/>
          <w:szCs w:val="24"/>
        </w:rPr>
        <w:t xml:space="preserve">) возвращает ноль — ничью.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(ii) Границы. Худший порядок: ни одно отсечение не срабатывает, дерево обходится целиком —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b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d</w:t>
      </w:r>
      <w:r>
        <w:rPr>
          <w:rFonts w:ascii="Times New Roman" w:eastAsia="SimSun"/>
          <w:color w:val="000000"/>
          <w:sz w:val="24"/>
          <w:szCs w:val="24"/>
        </w:rPr>
        <w:t xml:space="preserve"> листьев. Лучший порядок (отсекающий ход всегда первым): после первого хода корня окно сжимается, и каждое следующее поддерево требует полного раскрытия лишь «половины» своей глубины; подсчёт Кнута–Мура даёт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b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⌈ d/2 ⌉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 + b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⌊ d/2 ⌋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 - 1</w:t>
      </w:r>
      <w:r>
        <w:rPr>
          <w:rFonts w:ascii="Times New Roman" w:eastAsia="SimSun"/>
          <w:color w:val="000000"/>
          <w:sz w:val="24"/>
          <w:szCs w:val="24"/>
        </w:rPr>
        <w:t xml:space="preserve"> листьев — корень экспоненты вместо самой экспоненты. Между границами качество эвристики порядка решает всё; MVV-LVA — стандартный шахматный компромисс между точностью предсказания отсечений и ценой сортировки.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(iii) Измерения. Счётчик узлов считает вызовы negamax, включая узлы квиесценции; эталон полного дерева — сумма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∑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k=0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d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 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perft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(k)</w:t>
      </w:r>
      <w:r>
        <w:rPr>
          <w:rFonts w:ascii="Times New Roman" w:eastAsia="SimSun"/>
          <w:color w:val="000000"/>
          <w:sz w:val="24"/>
          <w:szCs w:val="24"/>
        </w:rPr>
        <w:t xml:space="preserve"> с перфт-значениями, сертифицированными в T08. Выигрыш растёт с глубиной, сближаясь с предсказанием (ii): это согласуется с качеством MVV-LVA в шахматных дебютах, где взятия действительно концентрируются у вершины дерева вариантов. Значения зафиксированы протоколом как эталонные: любой регресс генерации или упорядочивания меняет их и обнаруживается сравнением с базовой строкой результатов.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(iv) Детерминизм. order_moves сортирует ходы стабильной сортировкой по тотальному числовому ключу; входной порядок детерминирован фиксированным обходом 0x88-доски в генераторе; равные ключи сохраняют порядок генерации. Все операции поиска чистые: make/unmake точно восстанавливают состояние (проверено в T09). Следовательно, траектория поиска — функция пары (позиция, глубина), и одинаковые запуски дают бит-в-бит одинаковые результаты на любой машине и в любом языке. Теорема доказана.</w:t>
      </w:r>
    </w:p>
    <w:p>
      <w:pPr>
        <w:pStyle w:val="Heading1"/>
        <w:spacing w:after="160" w:before="360" w:line="312"/>
      </w:pPr>
      <w:bookmarkStart w:id="100003" w:name="_Toc100003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Протокольные данные</w:t>
      </w:r>
      <w:bookmarkEnd w:id="100003"/>
    </w:p>
    <w:p>
      <w:pPr>
        <w:keepNext/>
        <w:spacing w:after="60" w:before="160" w:line="312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Узлы альфа-бета на начальной позиции (MVV-LVA + централизация)</w:t>
      </w:r>
    </w:p>
    <w:tbl>
      <w:tblPr>
        <w:tblW w:type="pct" w:w="100%"/>
        <w:tblBorders>
          <w:top w:val="single" w:color="555555" w:sz="6"/>
          <w:left w:val="none" w:color="FFFFFF" w:sz="0"/>
          <w:bottom w:val="single" w:color="555555" w:sz="6"/>
          <w:right w:val="none" w:color="FFFFFF" w:sz="0"/>
          <w:insideH w:val="single" w:color="CCCCCC" w:sz="2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9.77212965200308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Глубина</w:t>
            </w:r>
          </w:p>
        </w:tc>
        <w:tc>
          <w:tcPr>
            <w:tcW w:type="pct" w:w="25.297987963275506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Узлы поиска</w:t>
            </w:r>
          </w:p>
        </w:tc>
        <w:tc>
          <w:tcPr>
            <w:tcW w:type="pct" w:w="29.15775273271834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Полное дерево</w:t>
            </w:r>
          </w:p>
        </w:tc>
        <w:tc>
          <w:tcPr>
            <w:tcW w:type="pct" w:w="19.77212965200308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Выигрыш</w:t>
            </w:r>
          </w:p>
        </w:tc>
      </w:tr>
      <w:tr>
        <w:trPr>
          <w:cantSplit/>
        </w:trPr>
        <w:tc>
          <w:tcPr>
            <w:tcW w:type="pct" w:w="19.7721296520030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pct" w:w="25.29798796327550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79</w:t>
            </w:r>
          </w:p>
        </w:tc>
        <w:tc>
          <w:tcPr>
            <w:tcW w:type="pct" w:w="29.157752732718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421</w:t>
            </w:r>
          </w:p>
        </w:tc>
        <w:tc>
          <w:tcPr>
            <w:tcW w:type="pct" w:w="19.7721296520030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× 5.3</w:t>
            </w:r>
          </w:p>
        </w:tc>
      </w:tr>
      <w:tr>
        <w:trPr>
          <w:cantSplit/>
        </w:trPr>
        <w:tc>
          <w:tcPr>
            <w:tcW w:type="pct" w:w="19.7721296520030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pct" w:w="25.29798796327550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731</w:t>
            </w:r>
          </w:p>
        </w:tc>
        <w:tc>
          <w:tcPr>
            <w:tcW w:type="pct" w:w="29.157752732718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9323</w:t>
            </w:r>
          </w:p>
        </w:tc>
        <w:tc>
          <w:tcPr>
            <w:tcW w:type="pct" w:w="19.7721296520030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× 12.8</w:t>
            </w:r>
          </w:p>
        </w:tc>
      </w:tr>
      <w:tr>
        <w:trPr>
          <w:cantSplit/>
        </w:trPr>
        <w:tc>
          <w:tcPr>
            <w:tcW w:type="pct" w:w="19.7721296520030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pct" w:w="25.29798796327550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3345</w:t>
            </w:r>
          </w:p>
        </w:tc>
        <w:tc>
          <w:tcPr>
            <w:tcW w:type="pct" w:w="29.157752732718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206604</w:t>
            </w:r>
          </w:p>
        </w:tc>
        <w:tc>
          <w:tcPr>
            <w:tcW w:type="pct" w:w="19.7721296520030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× 61.8</w:t>
            </w:r>
          </w:p>
        </w:tc>
      </w:tr>
      <w:tr>
        <w:trPr>
          <w:cantSplit/>
        </w:trPr>
        <w:tc>
          <w:tcPr>
            <w:tcW w:type="pct" w:w="19.7721296520030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pct" w:w="25.29798796327550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19753</w:t>
            </w:r>
          </w:p>
        </w:tc>
        <w:tc>
          <w:tcPr>
            <w:tcW w:type="pct" w:w="29.157752732718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5072213</w:t>
            </w:r>
          </w:p>
        </w:tc>
        <w:tc>
          <w:tcPr>
            <w:tcW w:type="pct" w:w="19.7721296520030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× 256.8</w:t>
            </w:r>
          </w:p>
        </w:tc>
      </w:tr>
    </w:tbl>
    <w:p>
      <w:pPr>
        <w:spacing w:after="120"/>
      </w:pPr>
    </w:p>
    <w:p>
      <w:pPr>
        <w:keepNext/>
        <w:spacing w:after="60" w:before="160" w:line="312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Служба поиска: компоненты, влияющие на границы</w:t>
      </w:r>
    </w:p>
    <w:tbl>
      <w:tblPr>
        <w:tblW w:type="pct" w:w="100%"/>
        <w:tblBorders>
          <w:top w:val="single" w:color="555555" w:sz="6"/>
          <w:left w:val="none" w:color="FFFFFF" w:sz="0"/>
          <w:bottom w:val="single" w:color="555555" w:sz="6"/>
          <w:right w:val="none" w:color="FFFFFF" w:sz="0"/>
          <w:insideH w:val="single" w:color="CCCCCC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4.60793620284418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Компонент</w:t>
            </w:r>
          </w:p>
        </w:tc>
        <w:tc>
          <w:tcPr>
            <w:tcW w:type="pct" w:w="38.548851861004096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Роль</w:t>
            </w:r>
          </w:p>
        </w:tc>
        <w:tc>
          <w:tcPr>
            <w:tcW w:type="pct" w:w="30.843211936151736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Сертификат</w:t>
            </w:r>
          </w:p>
        </w:tc>
      </w:tr>
      <w:tr>
        <w:trPr>
          <w:cantSplit/>
        </w:trPr>
        <w:tc>
          <w:tcPr>
            <w:tcW w:type="pct" w:w="24.607936202844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MVV-LVA + централизация</w:t>
            </w:r>
          </w:p>
        </w:tc>
        <w:tc>
          <w:tcPr>
            <w:tcW w:type="pct" w:w="38.54885186100409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порядок ходов, ранние отсечения</w:t>
            </w:r>
          </w:p>
        </w:tc>
        <w:tc>
          <w:tcPr>
            <w:tcW w:type="pct" w:w="30.8432119361517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таблица узлов (iii)</w:t>
            </w:r>
          </w:p>
        </w:tc>
      </w:tr>
      <w:tr>
        <w:trPr>
          <w:cantSplit/>
        </w:trPr>
        <w:tc>
          <w:tcPr>
            <w:tcW w:type="pct" w:w="24.607936202844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квиесценция</w:t>
            </w:r>
          </w:p>
        </w:tc>
        <w:tc>
          <w:tcPr>
            <w:tcW w:type="pct" w:w="38.54885186100409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взятия на листьях, устранение горизонта</w:t>
            </w:r>
          </w:p>
        </w:tc>
        <w:tc>
          <w:tcPr>
            <w:tcW w:type="pct" w:w="30.8432119361517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самосогласованность самопартий</w:t>
            </w:r>
          </w:p>
        </w:tc>
      </w:tr>
      <w:tr>
        <w:trPr>
          <w:cantSplit/>
        </w:trPr>
        <w:tc>
          <w:tcPr>
            <w:tcW w:type="pct" w:w="24.607936202844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код мата −MATE + ply</w:t>
            </w:r>
          </w:p>
        </w:tc>
        <w:tc>
          <w:tcPr>
            <w:tcW w:type="pct" w:w="38.54885186100409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предпочтение кратчайшего мата</w:t>
            </w:r>
          </w:p>
        </w:tc>
        <w:tc>
          <w:tcPr>
            <w:tcW w:type="pct" w:w="30.8432119361517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тактический эталон T11(iv)</w:t>
            </w:r>
          </w:p>
        </w:tc>
      </w:tr>
      <w:tr>
        <w:trPr>
          <w:cantSplit/>
        </w:trPr>
        <w:tc>
          <w:tcPr>
            <w:tcW w:type="pct" w:w="24.607936202844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правило 50 ходов</w:t>
            </w:r>
          </w:p>
        </w:tc>
        <w:tc>
          <w:tcPr>
            <w:tcW w:type="pct" w:w="38.54885186100409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ничья при halfmove ≥ 100</w:t>
            </w:r>
          </w:p>
        </w:tc>
        <w:tc>
          <w:tcPr>
            <w:tcW w:type="pct" w:w="30.8432119361517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тесты pytest</w:t>
            </w:r>
          </w:p>
        </w:tc>
      </w:tr>
      <w:tr>
        <w:trPr>
          <w:cantSplit/>
        </w:trPr>
        <w:tc>
          <w:tcPr>
            <w:tcW w:type="pct" w:w="24.607936202844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стабильная сортировка</w:t>
            </w:r>
          </w:p>
        </w:tc>
        <w:tc>
          <w:tcPr>
            <w:tcW w:type="pct" w:w="38.54885186100409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тотальный порядок ходов</w:t>
            </w:r>
          </w:p>
        </w:tc>
        <w:tc>
          <w:tcPr>
            <w:tcW w:type="pct" w:w="30.8432119361517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воспроизводимость (iv)</w:t>
            </w:r>
          </w:p>
        </w:tc>
      </w:tr>
    </w:tbl>
    <w:p>
      <w:pPr>
        <w:spacing w:after="120"/>
      </w:pPr>
    </w:p>
    <w:p>
      <w:pPr>
        <w:pStyle w:val="Heading1"/>
        <w:spacing w:after="160" w:before="360" w:line="312"/>
      </w:pPr>
      <w:bookmarkStart w:id="100004" w:name="_Toc100004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Итог доказанного</w:t>
      </w:r>
      <w:bookmarkEnd w:id="100004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Мы доказали корректность негамакс-поиска с окном, воспроизвели классические границы худшего и лучшего порядков, зафиксировали протокольные измерения узлов (до ×256.8 на глубине 5) и доказали детерминизм поиска. Тем самым контур полной игры опирается на те же сертифицированные фундаменты, что и ретроградный анализ: генерация T08, память T09 и энергия T05.</w:t>
      </w:r>
    </w:p>
    <w:p>
      <w:pPr>
        <w:pStyle w:val="Heading1"/>
        <w:spacing w:after="160" w:before="360" w:line="312"/>
      </w:pPr>
      <w:bookmarkStart w:id="100005" w:name="_Toc100005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Проверка</w:t>
      </w:r>
      <w:bookmarkEnd w:id="100005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python3 dynamics.py --analyze &lt;FEN&gt; --depth 4 (ход, оценка, узлы); python3 engine/game_player.py --selfplay --depth 4 (детерминированные самопартии); форсированные проверки C8 исполняются тем же поисковым ядром. Сравнение узлов с таблицей теоремы выполняется тестами pytest (baseline_c1_c9.json).</w:t>
      </w:r>
    </w:p>
    <w:p>
      <w:pPr>
        <w:pBdr>
          <w:top w:val="single" w:color="999999" w:sz="6" w:space="6"/>
        </w:pBdr>
        <w:spacing w:before="240"/>
      </w:pPr>
      <w:r>
        <w:rPr>
          <w:rFonts w:ascii="Times New Roman" w:eastAsia="SimSun"/>
          <w:color w:val="606060"/>
          <w:sz w:val="18"/>
          <w:szCs w:val="18"/>
        </w:rPr>
        <w:t xml:space="preserve">© 2026 chess-dynamics-lab · Индивидуальная исключительная лицензия</w:t>
      </w:r>
    </w:p>
    <w:sectPr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606060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606060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Times New Roman" w:eastAsia="SimSun"/>
      <w:b/>
      <w:bCs/>
      <w:color w:val="000000"/>
      <w:sz w:val="30"/>
      <w:szCs w:val="30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T10 — Границы альфа-бета: ветвление, упорядочивание частиц и детерминизм поиска</dc:title>
  <dc:creator>Isaev Iskhak Khamzatovich</dc:creator>
  <dc:description>Монография T10 программы chess-dynamics-lab — полная игра</dc:description>
  <cp:lastModifiedBy>Un-named</cp:lastModifiedBy>
  <cp:revision>1</cp:revision>
  <dcterms:created xsi:type="dcterms:W3CDTF">2026-09-29T21:58:05.380Z</dcterms:created>
  <dcterms:modified xsi:type="dcterms:W3CDTF">2026-09-29T21:58:05.380Z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