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left w:type="dxa" w:w="1701"/>
              <w:right w:type="dxa" w:w="1701"/>
            </w:tcMar>
            <w:vAlign w:val="top"/>
          </w:tcPr>
          <w:p>
            <w:pPr>
              <w:spacing w:before="3445"/>
            </w:pPr>
          </w:p>
          <w:p>
            <w:pPr>
              <w:spacing w:after="400" w:line="414" w:lineRule="atLeast"/>
              <w:jc w:val="center"/>
            </w:pPr>
            <w:r>
              <w:rPr>
                <w:rFonts w:ascii="Times New Roman" w:eastAsia="SimSun"/>
                <w:color w:val="162032"/>
                <w:spacing w:val="60"/>
                <w:sz w:val="36"/>
                <w:szCs w:val="36"/>
              </w:rPr>
              <w:t xml:space="preserve">CHESS-DYNAMICS-LAB</w:t>
            </w:r>
          </w:p>
          <w:p>
            <w:pPr>
              <w:spacing w:after="120" w:line="690" w:lineRule="atLeast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60"/>
                <w:szCs w:val="60"/>
              </w:rPr>
              <w:t xml:space="preserve">Пространство состояний и</w:t>
            </w:r>
          </w:p>
          <w:p>
            <w:pPr>
              <w:spacing w:after="300" w:line="690" w:lineRule="atLeast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60"/>
                <w:szCs w:val="60"/>
              </w:rPr>
              <w:t xml:space="preserve">протокол C1–C9</w:t>
            </w:r>
          </w:p>
          <w:p>
            <w:pPr>
              <w:spacing w:after="200" w:line="299" w:lineRule="atLeast"/>
              <w:jc w:val="center"/>
            </w:pPr>
            <w:r>
              <w:rPr>
                <w:rFonts w:ascii="Times New Roman" w:eastAsia="SimSun"/>
                <w:color w:val="404040"/>
                <w:sz w:val="26"/>
                <w:szCs w:val="26"/>
              </w:rPr>
              <w:t xml:space="preserve">Монография T12 программы chess-dynamics-lab — сводный протокол</w:t>
            </w:r>
          </w:p>
          <w:p>
            <w:pPr>
              <w:spacing w:before="1227"/>
            </w:pPr>
          </w:p>
          <w:tbl>
            <w:tblPr>
              <w:tblW w:type="pct" w:w="55%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  <w:gridCol w:w="100"/>
            </w:tblGrid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Автор: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Исаев Исхак Хамзатович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Серия: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Монография T12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Программа: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chess-dynamics-lab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Слой: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сводный протокол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Лицензия: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Индивидуальная исключительная</w:t>
                  </w:r>
                </w:p>
              </w:tc>
            </w:tr>
          </w:tbl>
          <w:p>
            <w:pPr>
              <w:spacing w:before="4547"/>
            </w:pPr>
          </w:p>
          <w:p>
            <w:pPr>
              <w:jc w:val="center"/>
            </w:pPr>
            <w:r>
              <w:rPr>
                <w:rFonts w:ascii="Times New Roman" w:eastAsia="SimSun"/>
                <w:color w:val="404040"/>
                <w:sz w:val="20"/>
                <w:szCs w:val="20"/>
              </w:rPr>
              <w:t xml:space="preserve">© 2026 chess-dynamics-lab · Индивидуальная исключительная лицензия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Sun"/>
          <w:b/>
          <w:bCs/>
          <w:sz w:val="32"/>
          <w:szCs w:val="32"/>
        </w:rPr>
        <w:t xml:space="preserve">Содержание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Постановка задачи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Теорема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Доказательство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Протокольные данные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Итог доказанного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Проверка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Примечание: оглавление построено на кодах полей. После редактирования документа щёлкните по оглавлению правой кнопкой мыши и выберите «Обновить поле», чтобы актуализировать номера страниц.</w:t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spacing w:after="240"/>
        <w:jc w:val="center"/>
      </w:pPr>
      <w:r>
        <w:rPr>
          <w:rFonts w:ascii="Times New Roman" w:eastAsia="SimSun"/>
          <w:b/>
          <w:bCs/>
          <w:color w:val="8B7E5A"/>
          <w:sz w:val="20"/>
          <w:szCs w:val="20"/>
        </w:rPr>
        <w:t xml:space="preserve">МОНОГРАФИЯ T12 · ПРОГРАММА CHESS-DYNAMICS-LAB</w:t>
      </w:r>
    </w:p>
    <w:p>
      <w:pPr>
        <w:spacing w:after="160" w:line="391" w:lineRule="atLeast"/>
        <w:jc w:val="center"/>
      </w:pPr>
      <w:r>
        <w:rPr>
          <w:rFonts w:ascii="Times New Roman" w:eastAsia="SimSun"/>
          <w:b/>
          <w:bCs/>
          <w:color w:val="000000"/>
          <w:sz w:val="34"/>
          <w:szCs w:val="34"/>
        </w:rPr>
        <w:t xml:space="preserve">Пространство состояний и протокол C1–C9</w:t>
      </w:r>
    </w:p>
    <w:p>
      <w:pPr>
        <w:spacing w:after="120"/>
        <w:jc w:val="center"/>
      </w:pPr>
      <w:r>
        <w:rPr>
          <w:rFonts w:ascii="Times New Roman" w:eastAsia="SimSun"/>
          <w:color w:val="404040"/>
          <w:sz w:val="24"/>
          <w:szCs w:val="24"/>
        </w:rPr>
        <w:t xml:space="preserve">Монография T12 программы chess-dynamics-lab — сводный протокол</w:t>
      </w:r>
    </w:p>
    <w:p>
      <w:pPr>
        <w:spacing w:after="40"/>
        <w:jc w:val="center"/>
      </w:pPr>
      <w:r>
        <w:rPr>
          <w:rFonts w:ascii="Times New Roman" w:eastAsia="SimSun"/>
          <w:color w:val="000000"/>
          <w:sz w:val="22"/>
          <w:szCs w:val="22"/>
        </w:rPr>
        <w:t xml:space="preserve">Исаев Исхак Хамзатович</w:t>
      </w:r>
    </w:p>
    <w:p>
      <w:pPr>
        <w:spacing w:after="60"/>
        <w:jc w:val="center"/>
      </w:pPr>
      <w:r>
        <w:rPr>
          <w:rFonts w:ascii="Times New Roman" w:eastAsia="SimSun"/>
          <w:color w:val="606060"/>
          <w:sz w:val="18"/>
          <w:szCs w:val="18"/>
        </w:rPr>
        <w:t xml:space="preserve">Ключевые слова: пространство состояний, протокол, изоляция отказов, воспроизводимость</w:t>
      </w:r>
    </w:p>
    <w:p>
      <w:pPr>
        <w:pBdr>
          <w:bottom w:val="single" w:color="8B7E5A" w:sz="8" w:space="4"/>
        </w:pBdr>
        <w:spacing w:after="240"/>
      </w:pPr>
    </w:p>
    <w:p>
      <w:pPr>
        <w:pStyle w:val="Heading1"/>
        <w:spacing w:after="160" w:before="360" w:line="312"/>
      </w:pPr>
      <w:bookmarkStart w:id="100000" w:name="_Toc100000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Постановка задачи</w:t>
      </w:r>
      <w:bookmarkEnd w:id="100000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Теоремы T01–T11 описывают отдельные слои модели частиц — алгебру доски, кинематику графов, мобильность, поля угроз, энергию, поток, генерацию, память и поиск. Но физика имеет силу лишь тогда, когда все её слои живут в одном точно специфицированном пространстве состояний и проверяются единым протоколом. Это заключительное звено теории программы: определить состояние, показать устройство его пространства и зафиксировать протокол C1–C9 — девять проверок, каждая из которых сертификатно закрывает свою теорему.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Принцип унаследован от родительской программы hodge-laboratory: утверждение считается доказанным, если оно воспроизводится протоколом одной командой на любой машине — от сервера до телефона под Termux. Поэтому протокол спроектирован как набор изолированных проверок: отказ одной не блокирует остальные, каждая возвращает булев вердикт и подробности, а суммарный вердикт ALL CHECKS PASSED достижим только при полном согласии теории и вычисления по всем девяти направлениям.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Международный контекст: протокол опирается на классику программирования шахмат — перфт-эталоны сообщества, табличные значения эндшпильных баз, границу Кнута–Мура, хеширование Цобриста — и добавляет собственный слой: трёхчастичную модель (поля угроз, лагранжиан, поток) с её собственными инвариантами, в первую очередь эквивариантностью полей относительно группы доски T01.</w:t>
      </w:r>
    </w:p>
    <w:p>
      <w:pPr>
        <w:pStyle w:val="Heading1"/>
        <w:spacing w:after="160" w:before="360" w:line="312"/>
      </w:pPr>
      <w:bookmarkStart w:id="100001" w:name="_Toc100001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Теорема</w:t>
      </w:r>
      <w:bookmarkEnd w:id="100001"/>
    </w:p>
    <w:p>
      <w:pPr>
        <w:pBdr>
          <w:left w:val="single" w:color="8B7E5A" w:sz="24" w:space="8"/>
        </w:pBdr>
        <w:shd w:fill="F6F4EF" w:val="clear"/>
        <w:spacing w:after="120" w:before="120" w:line="312"/>
        <w:ind w:left="240" w:right="1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Теорема T12 (пространство состояний и полнота протокола).</w:t>
      </w:r>
      <w:r>
        <w:rPr>
          <w:sz w:val="24"/>
          <w:szCs w:val="24"/>
        </w:rPr>
        <w:t xml:space="preserve"> </w:t>
      </w:r>
      <w:r>
        <w:rPr>
          <w:rFonts w:ascii="Times New Roman" w:eastAsia="SimSun"/>
          <w:color w:val="000000"/>
          <w:sz w:val="24"/>
          <w:szCs w:val="24"/>
        </w:rPr>
        <w:t xml:space="preserve">(i) Состояние позиции — набор: доска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∈ {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EMPTY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, …, 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BK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}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128</w:t>
      </w:r>
      <w:r>
        <w:rPr>
          <w:rFonts w:ascii="Times New Roman" w:eastAsia="SimSun"/>
          <w:color w:val="000000"/>
          <w:sz w:val="24"/>
          <w:szCs w:val="24"/>
        </w:rPr>
        <w:t xml:space="preserve"> в 0x88-представлении, сторона на ходу, права рокировки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∈ 2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4</w:t>
      </w:r>
      <w:r>
        <w:rPr>
          <w:rFonts w:ascii="Times New Roman" w:eastAsia="SimSun"/>
          <w:color w:val="000000"/>
          <w:sz w:val="24"/>
          <w:szCs w:val="24"/>
        </w:rPr>
        <w:t xml:space="preserve">, ep-клетка, счётчик полуходов, номер хода; 0x88-кодировка даёт тесты границ и атак за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O(1)</w:t>
      </w:r>
      <w:r>
        <w:rPr>
          <w:rFonts w:ascii="Times New Roman" w:eastAsia="SimSun"/>
          <w:color w:val="000000"/>
          <w:sz w:val="24"/>
          <w:szCs w:val="24"/>
        </w:rPr>
        <w:t xml:space="preserve">. (ii) Для трёхфигурных эндшпилей пространство упаковывается в 22 бита; реализуемых состояний: KRK — 399112, KQK — 368452. (iii) Протокол C1–C9 закрывает теоремы T01–T11: каждый чек — булев результат с подробностями; отказ изолирован (исключение перехватывается, остальные чеки продолжаются); вердикт ALL CHECKS PASSED означает одновременный успех всех девяти. (iv) Полиглот-батарея C1–C10 в семи языках выдаёт идентичный формат строк [PASS]/[FAIL] и итоговый вердикт 10/10.</w:t>
      </w:r>
    </w:p>
    <w:p>
      <w:pPr>
        <w:pStyle w:val="Heading1"/>
        <w:spacing w:after="160" w:before="360" w:line="312"/>
      </w:pPr>
      <w:bookmarkStart w:id="100002" w:name="_Toc100002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Доказательство</w:t>
      </w:r>
      <w:bookmarkEnd w:id="100002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(i) Спецификация. Состояние реализовано структурой Position с полем board длины 128: индекс 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sq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= r · 16 + f</w:t>
      </w:r>
      <w:r>
        <w:rPr>
          <w:rFonts w:ascii="Times New Roman" w:eastAsia="SimSun"/>
          <w:color w:val="000000"/>
          <w:sz w:val="24"/>
          <w:szCs w:val="24"/>
        </w:rPr>
        <w:t xml:space="preserve"> даёт тест "вне доски" как 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sq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 &amp;  0x88 ≠ 0</w:t>
      </w:r>
      <w:r>
        <w:rPr>
          <w:rFonts w:ascii="Times New Roman" w:eastAsia="SimSun"/>
          <w:color w:val="000000"/>
          <w:sz w:val="24"/>
          <w:szCs w:val="24"/>
        </w:rPr>
        <w:t xml:space="preserve"> — одна побитовая операция вместо двух сравнений; смещения фигур — константные массивы, не выходящие за границы массива. Инвариант круговорота состояния — FEN-круговорот: set_fen(to_fen(P)) восстанавливает позицию и хеш точно (проверено на всех позициях протокола и в тестах pytest). Валидатор is_valid проверяет согласованность: ровно по два короля, отсутствие пешек на первой и последней горизонталях, непротиворечивость прав рокировки и ep.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(ii) Редукции пространства. Три принципа сжатия. Первый — упаковка трёхфигурных состояний в 22 бита (T11): wk | wq&lt;&lt;7 | bk&lt;&lt;14 | stm&lt;&lt;21. Второй — симметрийная редукция: группа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V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4</w:t>
      </w:r>
      <w:r>
        <w:rPr>
          <w:rFonts w:ascii="Times New Roman" w:eastAsia="SimSun"/>
          <w:color w:val="000000"/>
          <w:sz w:val="24"/>
          <w:szCs w:val="24"/>
        </w:rPr>
        <w:t xml:space="preserve"> цветосохраняющих симметрий T01 действует свободно на почти всех позициях, деля классы эквивалентности примерно на четверо; базы хранят орбиты, протокол проверяет эквивариантность. Третий — необратимость: счётчик полуходов делит историю на деревья продолжений; в таблицах транспозиций позиция различима только вместе со счётчиком — иначе правило 50 ходов нарушит детерминизм.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(iii) Соответствие чеков теоремам фиксируется таблицей ниже; каждая строка — замкнутый контур «теорема → чек → константы». Изоляция отказов реализована в run_protocol: каждый чек исполняется в перехвате исключений; FAIL возвращает подробности и не прерывает остальные; суммарный вердикт — конъюнкция всех булевых результатов. Детерминизм всех чеков (фиксированные зерна, тотальный порядок ходов T10(iv)) даёт воспроизводимость вердикта на любых машинах — x86-серверах и ARM-телефонах под Termux.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(iv) Кросс-языковая согласованность. Полиглот-ядро реализует батарею C1–C10 на семи языках с одинаковым форматом вывода: строка «[PASS] Cn примечание» или «[FAIL] Cn причина», в конце — «verdict: 10/10». Бит-в-бит одинаковые эталонные константы (перфт, орбиты, цензы, splitmix64) гарантируют, что расхождение хотя бы одного бекенда обнаружится сравнением строк. Локально верифицированы Python, C и JavaScript; Rust, Go, Julia и Java верифицируются в GitHub Actions при каждом пуше. Теорема доказана.</w:t>
      </w:r>
    </w:p>
    <w:p>
      <w:pPr>
        <w:pStyle w:val="Heading1"/>
        <w:spacing w:after="160" w:before="360" w:line="312"/>
      </w:pPr>
      <w:bookmarkStart w:id="100003" w:name="_Toc100003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Протокольные данные</w:t>
      </w:r>
      <w:bookmarkEnd w:id="100003"/>
    </w:p>
    <w:p>
      <w:pPr>
        <w:keepNext/>
        <w:spacing w:after="60" w:before="160" w:line="312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Соответствие протокола и теорем</w:t>
      </w:r>
    </w:p>
    <w:tbl>
      <w:tblPr>
        <w:tblW w:type="pct" w:w="100%"/>
        <w:tblBorders>
          <w:top w:val="single" w:color="555555" w:sz="6"/>
          <w:left w:val="none" w:color="FFFFFF" w:sz="0"/>
          <w:bottom w:val="single" w:color="555555" w:sz="6"/>
          <w:right w:val="none" w:color="FFFFFF" w:sz="0"/>
          <w:insideH w:val="single" w:color="CCCCCC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1.501062873923596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Чек</w:t>
            </w:r>
          </w:p>
        </w:tc>
        <w:tc>
          <w:tcPr>
            <w:tcW w:type="pct" w:w="34.52548545278325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Содержание</w:t>
            </w:r>
          </w:p>
        </w:tc>
        <w:tc>
          <w:tcPr>
            <w:tcW w:type="pct" w:w="11.501062873923596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Теорема</w:t>
            </w:r>
          </w:p>
        </w:tc>
        <w:tc>
          <w:tcPr>
            <w:tcW w:type="pct" w:w="36.472388799369554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Ключевые константы</w:t>
            </w:r>
          </w:p>
        </w:tc>
      </w:tr>
      <w:tr>
        <w:trPr>
          <w:cantSplit/>
        </w:trPr>
        <w:tc>
          <w:tcPr>
            <w:tcW w:type="pct" w:w="11.50106287392359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C1</w:t>
            </w:r>
          </w:p>
        </w:tc>
        <w:tc>
          <w:tcPr>
            <w:tcW w:type="pct" w:w="34.525485452783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орбиты V4/D4, лемма Бернсайда</w:t>
            </w:r>
          </w:p>
        </w:tc>
        <w:tc>
          <w:tcPr>
            <w:tcW w:type="pct" w:w="11.50106287392359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T01</w:t>
            </w:r>
          </w:p>
        </w:tc>
        <w:tc>
          <w:tcPr>
            <w:tcW w:type="pct" w:w="36.47238879936955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20 и 10 орбит</w:t>
            </w:r>
          </w:p>
        </w:tc>
      </w:tr>
      <w:tr>
        <w:trPr>
          <w:cantSplit/>
        </w:trPr>
        <w:tc>
          <w:tcPr>
            <w:tcW w:type="pct" w:w="11.50106287392359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C2</w:t>
            </w:r>
          </w:p>
        </w:tc>
        <w:tc>
          <w:tcPr>
            <w:tcW w:type="pct" w:w="34.525485452783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цензы рёбер графов ходов</w:t>
            </w:r>
          </w:p>
        </w:tc>
        <w:tc>
          <w:tcPr>
            <w:tcW w:type="pct" w:w="11.50106287392359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T02</w:t>
            </w:r>
          </w:p>
        </w:tc>
        <w:tc>
          <w:tcPr>
            <w:tcW w:type="pct" w:w="36.47238879936955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R448/B280/N168/K210/Q728</w:t>
            </w:r>
          </w:p>
        </w:tc>
      </w:tr>
      <w:tr>
        <w:trPr>
          <w:cantSplit/>
        </w:trPr>
        <w:tc>
          <w:tcPr>
            <w:tcW w:type="pct" w:w="11.50106287392359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C3</w:t>
            </w:r>
          </w:p>
        </w:tc>
        <w:tc>
          <w:tcPr>
            <w:tcW w:type="pct" w:w="34.525485452783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мобильность: суммы и максимумы</w:t>
            </w:r>
          </w:p>
        </w:tc>
        <w:tc>
          <w:tcPr>
            <w:tcW w:type="pct" w:w="11.50106287392359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T03</w:t>
            </w:r>
          </w:p>
        </w:tc>
        <w:tc>
          <w:tcPr>
            <w:tcW w:type="pct" w:w="36.47238879936955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896/560/336/420/1456; max 27</w:t>
            </w:r>
          </w:p>
        </w:tc>
      </w:tr>
      <w:tr>
        <w:trPr>
          <w:cantSplit/>
        </w:trPr>
        <w:tc>
          <w:tcPr>
            <w:tcW w:type="pct" w:w="11.50106287392359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C4</w:t>
            </w:r>
          </w:p>
        </w:tc>
        <w:tc>
          <w:tcPr>
            <w:tcW w:type="pct" w:w="34.525485452783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завершение потока t*, бильярд</w:t>
            </w:r>
          </w:p>
        </w:tc>
        <w:tc>
          <w:tcPr>
            <w:tcW w:type="pct" w:w="11.50106287392359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T06</w:t>
            </w:r>
          </w:p>
        </w:tc>
        <w:tc>
          <w:tcPr>
            <w:tcW w:type="pct" w:w="36.47238879936955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t* = lcm(W/gcd(a,W), H/gcd(b,H))</w:t>
            </w:r>
          </w:p>
        </w:tc>
      </w:tr>
      <w:tr>
        <w:trPr>
          <w:cantSplit/>
        </w:trPr>
        <w:tc>
          <w:tcPr>
            <w:tcW w:type="pct" w:w="11.50106287392359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C5</w:t>
            </w:r>
          </w:p>
        </w:tc>
        <w:tc>
          <w:tcPr>
            <w:tcW w:type="pct" w:w="34.525485452783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перфт-идентичности</w:t>
            </w:r>
          </w:p>
        </w:tc>
        <w:tc>
          <w:tcPr>
            <w:tcW w:type="pct" w:w="11.50106287392359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T08</w:t>
            </w:r>
          </w:p>
        </w:tc>
        <w:tc>
          <w:tcPr>
            <w:tcW w:type="pct" w:w="36.47238879936955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20/400/8902/197281/4865609</w:t>
            </w:r>
          </w:p>
        </w:tc>
      </w:tr>
      <w:tr>
        <w:trPr>
          <w:cantSplit/>
        </w:trPr>
        <w:tc>
          <w:tcPr>
            <w:tcW w:type="pct" w:w="11.50106287392359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C6</w:t>
            </w:r>
          </w:p>
        </w:tc>
        <w:tc>
          <w:tcPr>
            <w:tcW w:type="pct" w:w="34.525485452783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эквивариантность полей угроз</w:t>
            </w:r>
          </w:p>
        </w:tc>
        <w:tc>
          <w:tcPr>
            <w:tcW w:type="pct" w:w="11.50106287392359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T04</w:t>
            </w:r>
          </w:p>
        </w:tc>
        <w:tc>
          <w:tcPr>
            <w:tcW w:type="pct" w:w="36.47238879936955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коммутирование с D4</w:t>
            </w:r>
          </w:p>
        </w:tc>
      </w:tr>
      <w:tr>
        <w:trPr>
          <w:cantSplit/>
        </w:trPr>
        <w:tc>
          <w:tcPr>
            <w:tcW w:type="pct" w:w="11.50106287392359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C7</w:t>
            </w:r>
          </w:p>
        </w:tc>
        <w:tc>
          <w:tcPr>
            <w:tcW w:type="pct" w:w="34.525485452783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лагранжева энергия</w:t>
            </w:r>
          </w:p>
        </w:tc>
        <w:tc>
          <w:tcPr>
            <w:tcW w:type="pct" w:w="11.50106287392359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T05</w:t>
            </w:r>
          </w:p>
        </w:tc>
        <w:tc>
          <w:tcPr>
            <w:tcW w:type="pct" w:w="36.47238879936955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 = 20; после e4 m = 30</w:t>
            </w:r>
          </w:p>
        </w:tc>
      </w:tr>
      <w:tr>
        <w:trPr>
          <w:cantSplit/>
        </w:trPr>
        <w:tc>
          <w:tcPr>
            <w:tcW w:type="pct" w:w="11.50106287392359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C8</w:t>
            </w:r>
          </w:p>
        </w:tc>
        <w:tc>
          <w:tcPr>
            <w:tcW w:type="pct" w:w="34.525485452783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ретроградные базы + тактика</w:t>
            </w:r>
          </w:p>
        </w:tc>
        <w:tc>
          <w:tcPr>
            <w:tcW w:type="pct" w:w="11.50106287392359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T10, T11</w:t>
            </w:r>
          </w:p>
        </w:tc>
        <w:tc>
          <w:tcPr>
            <w:tcW w:type="pct" w:w="36.47238879936955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KRK 16, KQK 10 ходов</w:t>
            </w:r>
          </w:p>
        </w:tc>
      </w:tr>
      <w:tr>
        <w:trPr>
          <w:cantSplit/>
        </w:trPr>
        <w:tc>
          <w:tcPr>
            <w:tcW w:type="pct" w:w="11.50106287392359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C9</w:t>
            </w:r>
          </w:p>
        </w:tc>
        <w:tc>
          <w:tcPr>
            <w:tcW w:type="pct" w:w="34.525485452783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цобрист, splitmix64</w:t>
            </w:r>
          </w:p>
        </w:tc>
        <w:tc>
          <w:tcPr>
            <w:tcW w:type="pct" w:w="11.50106287392359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T09</w:t>
            </w:r>
          </w:p>
        </w:tc>
        <w:tc>
          <w:tcPr>
            <w:tcW w:type="pct" w:w="36.47238879936955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1562 ключей; граница 0.027</w:t>
            </w:r>
          </w:p>
        </w:tc>
      </w:tr>
    </w:tbl>
    <w:p>
      <w:pPr>
        <w:spacing w:after="120"/>
      </w:pPr>
    </w:p>
    <w:p>
      <w:pPr>
        <w:keepNext/>
        <w:spacing w:after="60" w:before="160" w:line="312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Свойства протокола как системы</w:t>
      </w:r>
    </w:p>
    <w:tbl>
      <w:tblPr>
        <w:tblW w:type="pct" w:w="100%"/>
        <w:tblBorders>
          <w:top w:val="single" w:color="555555" w:sz="6"/>
          <w:left w:val="none" w:color="FFFFFF" w:sz="0"/>
          <w:bottom w:val="single" w:color="555555" w:sz="6"/>
          <w:right w:val="none" w:color="FFFFFF" w:sz="0"/>
          <w:insideH w:val="single" w:color="CCCCCC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7.989105641243366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Свойство</w:t>
            </w:r>
          </w:p>
        </w:tc>
        <w:tc>
          <w:tcPr>
            <w:tcW w:type="pct" w:w="40.370373183132706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Механизм</w:t>
            </w:r>
          </w:p>
        </w:tc>
        <w:tc>
          <w:tcPr>
            <w:tcW w:type="pct" w:w="35.64052117562393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Следствие</w:t>
            </w:r>
          </w:p>
        </w:tc>
      </w:tr>
      <w:tr>
        <w:trPr>
          <w:cantSplit/>
        </w:trPr>
        <w:tc>
          <w:tcPr>
            <w:tcW w:type="pct" w:w="17.98910564124336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изоляция отказов</w:t>
            </w:r>
          </w:p>
        </w:tc>
        <w:tc>
          <w:tcPr>
            <w:tcW w:type="pct" w:w="40.37037318313270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перехват исключений в run_protocol</w:t>
            </w:r>
          </w:p>
        </w:tc>
        <w:tc>
          <w:tcPr>
            <w:tcW w:type="pct" w:w="35.6405211756239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FAIL одного чека не скрывает остальные</w:t>
            </w:r>
          </w:p>
        </w:tc>
      </w:tr>
      <w:tr>
        <w:trPr>
          <w:cantSplit/>
        </w:trPr>
        <w:tc>
          <w:tcPr>
            <w:tcW w:type="pct" w:w="17.98910564124336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воспроизводимость</w:t>
            </w:r>
          </w:p>
        </w:tc>
        <w:tc>
          <w:tcPr>
            <w:tcW w:type="pct" w:w="40.37037318313270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детерминизм T10(iv), фиксированные зерна</w:t>
            </w:r>
          </w:p>
        </w:tc>
        <w:tc>
          <w:tcPr>
            <w:tcW w:type="pct" w:w="35.6405211756239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одинаковый вердикт на любой машине</w:t>
            </w:r>
          </w:p>
        </w:tc>
      </w:tr>
      <w:tr>
        <w:trPr>
          <w:cantSplit/>
        </w:trPr>
        <w:tc>
          <w:tcPr>
            <w:tcW w:type="pct" w:w="17.98910564124336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кросс-языковость</w:t>
            </w:r>
          </w:p>
        </w:tc>
        <w:tc>
          <w:tcPr>
            <w:tcW w:type="pct" w:w="40.37037318313270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полиглот-батарея C1–C10, 7 языков</w:t>
            </w:r>
          </w:p>
        </w:tc>
        <w:tc>
          <w:tcPr>
            <w:tcW w:type="pct" w:w="35.6405211756239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verdict: 10/10 строкой-эталоном</w:t>
            </w:r>
          </w:p>
        </w:tc>
      </w:tr>
      <w:tr>
        <w:trPr>
          <w:cantSplit/>
        </w:trPr>
        <w:tc>
          <w:tcPr>
            <w:tcW w:type="pct" w:w="17.98910564124336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глубина</w:t>
            </w:r>
          </w:p>
        </w:tc>
        <w:tc>
          <w:tcPr>
            <w:tcW w:type="pct" w:w="40.37037318313270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режим --deep: perft(5), расширенные проверки</w:t>
            </w:r>
          </w:p>
        </w:tc>
        <w:tc>
          <w:tcPr>
            <w:tcW w:type="pct" w:w="35.6405211756239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две ступени строгости</w:t>
            </w:r>
          </w:p>
        </w:tc>
      </w:tr>
    </w:tbl>
    <w:p>
      <w:pPr>
        <w:spacing w:after="120"/>
      </w:pPr>
    </w:p>
    <w:p>
      <w:pPr>
        <w:pStyle w:val="Heading1"/>
        <w:spacing w:after="160" w:before="360" w:line="312"/>
      </w:pPr>
      <w:bookmarkStart w:id="100004" w:name="_Toc100004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Итог доказанного</w:t>
      </w:r>
      <w:bookmarkEnd w:id="100004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Мы специфицировали пространство состояний лаборатории, его редукции и инварианты, зафиксировали взаимно однозначное соответствие чеков C1–C9 теоремам T01–T11, доказали изоляцию отказов и воспроизводимость вердикта, а также кросс-языковую согласованность полиглот-батареи. Программа тем самым замкнута: каждая теорема имеет исполняемую форму, а вся теория — один вердикт, проверяемый одной командой.</w:t>
      </w:r>
    </w:p>
    <w:p>
      <w:pPr>
        <w:pStyle w:val="Heading1"/>
        <w:spacing w:after="160" w:before="360" w:line="312"/>
      </w:pPr>
      <w:bookmarkStart w:id="100005" w:name="_Toc100005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Проверка</w:t>
      </w:r>
      <w:bookmarkEnd w:id="100005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python3 dynamics.py --report — полный протокол с вердиктом; python3 dynamics.py --run Ck — отдельный чек; bash polyglot/run_all.sh — кросс-языковая батарея со сводной таблицей. Время полного --report на телефоне — десятки секунд (доминирует C5), на сервере — секунды.</w:t>
      </w:r>
    </w:p>
    <w:p>
      <w:pPr>
        <w:pBdr>
          <w:top w:val="single" w:color="999999" w:sz="6" w:space="6"/>
        </w:pBdr>
        <w:spacing w:before="240"/>
      </w:pPr>
      <w:r>
        <w:rPr>
          <w:rFonts w:ascii="Times New Roman" w:eastAsia="SimSun"/>
          <w:color w:val="606060"/>
          <w:sz w:val="18"/>
          <w:szCs w:val="18"/>
        </w:rPr>
        <w:t xml:space="preserve">© 2026 chess-dynamics-lab · Индивидуальная исключительная лицензия</w:t>
      </w:r>
    </w:p>
    <w:sectPr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60606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60606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Times New Roman" w:eastAsia="SimSun"/>
      <w:b/>
      <w:bCs/>
      <w:color w:val="000000"/>
      <w:sz w:val="30"/>
      <w:szCs w:val="30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T12 — Пространство состояний и протокол C1–C9</dc:title>
  <dc:creator>Isaev Iskhak Khamzatovich</dc:creator>
  <dc:description>Монография T12 программы chess-dynamics-lab — сводный протокол</dc:description>
  <cp:lastModifiedBy>Un-named</cp:lastModifiedBy>
  <cp:revision>1</cp:revision>
  <dcterms:created xsi:type="dcterms:W3CDTF">2026-09-29T21:58:05.435Z</dcterms:created>
  <dcterms:modified xsi:type="dcterms:W3CDTF">2026-09-29T21:58:05.435Z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