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497"/>
            </w:pPr>
          </w:p>
          <w:p>
            <w:pPr>
              <w:spacing w:after="120"/>
              <w:jc w:val="center"/>
            </w:pPr>
            <w:r>
              <w:rPr>
                <w:rFonts w:ascii="Times New Roman" w:eastAsia="Times New Roman" w:hAnsi="Times New Roman"/>
                <w:color w:val="8B7E5A"/>
                <w:spacing w:val="60"/>
                <w:sz w:val="20"/>
                <w:szCs w:val="20"/>
              </w:rPr>
              <w:t xml:space="preserve">МОНОГРАФИЯ · ИССЛЕДОВАТЕЛЬСКАЯ ПРОГРАММА</w:t>
            </w:r>
          </w:p>
          <w:p>
            <w:pPr>
              <w:spacing w:after="80" w:line="690" w:lineRule="atLeast"/>
              <w:jc w:val="center"/>
            </w:pPr>
            <w:r>
              <w:rPr>
                <w:rFonts w:ascii="Times New Roman" w:eastAsia="Times New Roman" w:hAnsi="Times New Roman"/>
                <w:b/>
                <w:bCs/>
                <w:color w:val="000000"/>
                <w:sz w:val="60"/>
                <w:szCs w:val="60"/>
              </w:rPr>
              <w:t xml:space="preserve">Постоянные Смагоринского</w:t>
            </w:r>
          </w:p>
          <w:p>
            <w:pPr>
              <w:spacing w:after="240" w:line="690" w:lineRule="atLeast"/>
              <w:jc w:val="center"/>
            </w:pPr>
            <w:r>
              <w:rPr>
                <w:rFonts w:ascii="Times New Roman" w:eastAsia="Times New Roman" w:hAnsi="Times New Roman"/>
                <w:b/>
                <w:bCs/>
                <w:color w:val="000000"/>
                <w:sz w:val="60"/>
                <w:szCs w:val="60"/>
              </w:rPr>
              <w:t xml:space="preserve">и Колмогорова</w:t>
            </w:r>
          </w:p>
          <w:p>
            <w:pPr>
              <w:spacing w:after="60"/>
              <w:jc w:val="center"/>
            </w:pPr>
            <w:r>
              <w:rPr>
                <w:rFonts w:ascii="Times New Roman" w:eastAsia="Times New Roman" w:hAnsi="Times New Roman"/>
                <w:i/>
                <w:iCs/>
                <w:color w:val="444444"/>
                <w:sz w:val="30"/>
                <w:szCs w:val="30"/>
              </w:rPr>
              <w:t xml:space="preserve">Единая спектральная теория, замыкания и</w:t>
            </w:r>
          </w:p>
          <w:p>
            <w:pPr>
              <w:spacing w:after="200"/>
              <w:jc w:val="center"/>
            </w:pPr>
            <w:r>
              <w:rPr>
                <w:rFonts w:ascii="Times New Roman" w:eastAsia="Times New Roman" w:hAnsi="Times New Roman"/>
                <w:i/>
                <w:iCs/>
                <w:color w:val="444444"/>
                <w:sz w:val="30"/>
                <w:szCs w:val="30"/>
              </w:rPr>
              <w:t xml:space="preserve">численный эксперимент</w:t>
            </w:r>
          </w:p>
          <w:p>
            <w:pPr>
              <w:spacing w:before="1225"/>
            </w:pPr>
          </w:p>
          <w:tbl>
            <w:tblPr>
              <w:tblW w:type="pct" w:w="31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5"/>
              <w:gridCol w:w="4577"/>
            </w:tblGrid>
            <w:tr>
              <w:tc>
                <w:tcPr>
                  <w:tcW w:type="pct" w:w="1900"/>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Автор:</w:t>
                  </w:r>
                </w:p>
              </w:tc>
              <w:tc>
                <w:tcPr>
                  <w:tcW w:type="pct" w:w="3100"/>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wild8highlander</w:t>
                  </w:r>
                </w:p>
              </w:tc>
            </w:tr>
            <w:tr>
              <w:tc>
                <w:tcPr>
                  <w:tcW w:type="pct" w:w="1900"/>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Программа:</w:t>
                  </w:r>
                </w:p>
              </w:tc>
              <w:tc>
                <w:tcPr>
                  <w:tcW w:type="pct" w:w="3100"/>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navier-stokes-b · research_col_smar</w:t>
                  </w:r>
                </w:p>
              </w:tc>
            </w:tr>
            <w:tr>
              <w:tc>
                <w:tcPr>
                  <w:tcW w:type="pct" w:w="1900"/>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Языки реализации:</w:t>
                  </w:r>
                </w:p>
              </w:tc>
              <w:tc>
                <w:tcPr>
                  <w:tcW w:type="pct" w:w="3100"/>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Python · C++ · Julia</w:t>
                  </w:r>
                </w:p>
              </w:tc>
            </w:tr>
            <w:tr>
              <w:tc>
                <w:tcPr>
                  <w:tcW w:type="pct" w:w="1900"/>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Издание:</w:t>
                  </w:r>
                </w:p>
              </w:tc>
              <w:tc>
                <w:tcPr>
                  <w:tcW w:type="pct" w:w="3100"/>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Русское</w:t>
                  </w:r>
                </w:p>
              </w:tc>
            </w:tr>
            <w:tr>
              <w:tc>
                <w:tcPr>
                  <w:tcW w:type="pct" w:w="1900"/>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Дата:</w:t>
                  </w:r>
                </w:p>
              </w:tc>
              <w:tc>
                <w:tcPr>
                  <w:tcW w:type="pct" w:w="3100"/>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2026</w:t>
                  </w:r>
                </w:p>
              </w:tc>
            </w:tr>
          </w:tbl>
          <w:p>
            <w:pPr>
              <w:spacing w:before="4136"/>
            </w:pPr>
          </w:p>
          <w:p>
            <w:pPr>
              <w:jc w:val="center"/>
            </w:pPr>
            <w:r>
              <w:rPr>
                <w:rFonts w:ascii="Times New Roman" w:eastAsia="Times New Roman" w:hAnsi="Times New Roman"/>
                <w:color w:val="404040"/>
                <w:sz w:val="22"/>
                <w:szCs w:val="22"/>
              </w:rPr>
              <w:t xml:space="preserve">navier-stokes-b · 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Times New Roman" w:hAnsi="Times New Roman"/>
          <w:b/>
          <w:bCs/>
          <w:color w:val="000000"/>
          <w:sz w:val="32"/>
          <w:szCs w:val="32"/>
        </w:rPr>
        <w:t xml:space="preserve">Оглавление</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Введение: две константы и один вопрос</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Математический аппарат</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Уравнения и обозначения</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Фильтрация и формализм LES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Конвенции, о которых обычно молчат</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3. Теория K41 и то, что она не фиксирует</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3.1. Гипотезы Колмогорова и спектр −5/3</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3.2. Константа C_K: статус</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3.3. Что требуется для замыкания системы</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4. Вывод I: мастер-соотношение C_s(C_K)</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4.1. Подсеточный бюджет</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4.2. Каскадный бюджет и согласование</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4.3. Семейство фильтров</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4.4. Чувствительность к вязкому хвосту спектра</w:t>
            </w:r>
            <w:r>
              <w:tab/>
            </w:r>
            <w:r>
              <w:fldChar w:fldCharType="begin"/>
            </w:r>
            <w:r>
              <w:instrText xml:space="preserve"> PAGEREF _Toc100013 \h </w:instrText>
            </w:r>
            <w:r>
              <w:fldChar w:fldCharType="separate"/>
            </w:r>
            <w:r>
              <w:t>9</w:t>
            </w:r>
            <w:r>
              <w:fldChar w:fldCharType="end"/>
            </w:r>
          </w:hyperlink>
        </w:p>
        <w:p>
          <w:pPr>
            <w:pStyle w:val="9"/>
            <w:tabs>
              <w:tab w:val="right" w:leader="dot" w:pos="9026"/>
            </w:tabs>
            <w:spacing w:before="120" w:after="60"/>
          </w:pPr>
          <w:hyperlink w:anchor="_Toc100014" w:history="1">
            <w:r>
              <w:rPr>
                <w:rStyle w:val="Hyperlink"/>
              </w:rPr>
              <w:t>5. Вывод II: замыкания для постоянной Колмогорова</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5.1. Спектральный баланс Гейзенберга</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5.2. Спектр Пао с точной нормировкой диссипации</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5.3. Сопоставление замыканий</w:t>
            </w:r>
            <w:r>
              <w:tab/>
            </w:r>
            <w:r>
              <w:fldChar w:fldCharType="begin"/>
            </w:r>
            <w:r>
              <w:instrText xml:space="preserve"> PAGEREF _Toc100017 \h </w:instrText>
            </w:r>
            <w:r>
              <w:fldChar w:fldCharType="separate"/>
            </w:r>
            <w:r>
              <w:t>12</w:t>
            </w:r>
            <w:r>
              <w:fldChar w:fldCharType="end"/>
            </w:r>
          </w:hyperlink>
        </w:p>
        <w:p>
          <w:pPr>
            <w:pStyle w:val="9"/>
            <w:tabs>
              <w:tab w:val="right" w:leader="dot" w:pos="9026"/>
            </w:tabs>
            <w:spacing w:before="120" w:after="60"/>
          </w:pPr>
          <w:hyperlink w:anchor="_Toc100018" w:history="1">
            <w:r>
              <w:rPr>
                <w:rStyle w:val="Hyperlink"/>
              </w:rPr>
              <w:t>6. Динамическая процедура Германо</w:t>
            </w:r>
            <w:r>
              <w:tab/>
            </w:r>
            <w:r>
              <w:fldChar w:fldCharType="begin"/>
            </w:r>
            <w:r>
              <w:instrText xml:space="preserve"> PAGEREF _Toc100018 \h </w:instrText>
            </w:r>
            <w:r>
              <w:fldChar w:fldCharType="separate"/>
            </w:r>
            <w:r>
              <w:t>13</w:t>
            </w:r>
            <w:r>
              <w:fldChar w:fldCharType="end"/>
            </w:r>
          </w:hyperlink>
        </w:p>
        <w:p>
          <w:pPr>
            <w:pStyle w:val="9"/>
            <w:tabs>
              <w:tab w:val="right" w:leader="dot" w:pos="9026"/>
            </w:tabs>
            <w:spacing w:before="120" w:after="60"/>
          </w:pPr>
          <w:hyperlink w:anchor="_Toc100019" w:history="1">
            <w:r>
              <w:rPr>
                <w:rStyle w:val="Hyperlink"/>
              </w:rPr>
              <w:t>7. Перемежаемость и пределы гауссова приближения</w:t>
            </w:r>
            <w:r>
              <w:tab/>
            </w:r>
            <w:r>
              <w:fldChar w:fldCharType="begin"/>
            </w:r>
            <w:r>
              <w:instrText xml:space="preserve"> PAGEREF _Toc100019 \h </w:instrText>
            </w:r>
            <w:r>
              <w:fldChar w:fldCharType="separate"/>
            </w:r>
            <w:r>
              <w:t>13</w:t>
            </w:r>
            <w:r>
              <w:fldChar w:fldCharType="end"/>
            </w:r>
          </w:hyperlink>
        </w:p>
        <w:p>
          <w:pPr>
            <w:pStyle w:val="11"/>
            <w:ind w:left="360"/>
            <w:tabs>
              <w:tab w:val="right" w:leader="dot" w:pos="9026"/>
            </w:tabs>
            <w:spacing w:before="120" w:after="60"/>
          </w:pPr>
          <w:hyperlink w:anchor="_Toc100020" w:history="1">
            <w:r>
              <w:rPr>
                <w:rStyle w:val="Hyperlink"/>
              </w:rPr>
              <w:t>7.1. Нулевая корреляция Германо на гауссовых полях</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7.2. Перемежаемость и разброс в литературе</w:t>
            </w:r>
            <w:r>
              <w:tab/>
            </w:r>
            <w:r>
              <w:fldChar w:fldCharType="begin"/>
            </w:r>
            <w:r>
              <w:instrText xml:space="preserve"> PAGEREF _Toc100021 \h </w:instrText>
            </w:r>
            <w:r>
              <w:fldChar w:fldCharType="separate"/>
            </w:r>
            <w:r>
              <w:t>14</w:t>
            </w:r>
            <w:r>
              <w:fldChar w:fldCharType="end"/>
            </w:r>
          </w:hyperlink>
        </w:p>
        <w:p>
          <w:pPr>
            <w:pStyle w:val="9"/>
            <w:tabs>
              <w:tab w:val="right" w:leader="dot" w:pos="9026"/>
            </w:tabs>
            <w:spacing w:before="120" w:after="60"/>
          </w:pPr>
          <w:hyperlink w:anchor="_Toc100022" w:history="1">
            <w:r>
              <w:rPr>
                <w:rStyle w:val="Hyperlink"/>
              </w:rPr>
              <w:t>8. Эксперимент I: верификация на синтетических полях (P3)</w:t>
            </w:r>
            <w:r>
              <w:tab/>
            </w:r>
            <w:r>
              <w:fldChar w:fldCharType="begin"/>
            </w:r>
            <w:r>
              <w:instrText xml:space="preserve"> PAGEREF _Toc100022 \h </w:instrText>
            </w:r>
            <w:r>
              <w:fldChar w:fldCharType="separate"/>
            </w:r>
            <w:r>
              <w:t>14</w:t>
            </w:r>
            <w:r>
              <w:fldChar w:fldCharType="end"/>
            </w:r>
          </w:hyperlink>
        </w:p>
        <w:p>
          <w:pPr>
            <w:pStyle w:val="11"/>
            <w:ind w:left="360"/>
            <w:tabs>
              <w:tab w:val="right" w:leader="dot" w:pos="9026"/>
            </w:tabs>
            <w:spacing w:before="120" w:after="60"/>
          </w:pPr>
          <w:hyperlink w:anchor="_Toc100023" w:history="1">
            <w:r>
              <w:rPr>
                <w:rStyle w:val="Hyperlink"/>
              </w:rPr>
              <w:t>8.1. Постановка</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8.2. Проверка спектральных входов</w:t>
            </w:r>
            <w:r>
              <w:tab/>
            </w:r>
            <w:r>
              <w:fldChar w:fldCharType="begin"/>
            </w:r>
            <w:r>
              <w:instrText xml:space="preserve"> PAGEREF _Toc100024 \h </w:instrText>
            </w:r>
            <w:r>
              <w:fldChar w:fldCharType="separate"/>
            </w:r>
            <w:r>
              <w:t>15</w:t>
            </w:r>
            <w:r>
              <w:fldChar w:fldCharType="end"/>
            </w:r>
          </w:hyperlink>
        </w:p>
        <w:p>
          <w:pPr>
            <w:pStyle w:val="11"/>
            <w:ind w:left="360"/>
            <w:tabs>
              <w:tab w:val="right" w:leader="dot" w:pos="9026"/>
            </w:tabs>
            <w:spacing w:before="120" w:after="60"/>
          </w:pPr>
          <w:hyperlink w:anchor="_Toc100025" w:history="1">
            <w:r>
              <w:rPr>
                <w:rStyle w:val="Hyperlink"/>
              </w:rPr>
              <w:t>8.3. Сходимость C_s(Δ/η) и нулевая корреляция</w:t>
            </w:r>
            <w:r>
              <w:tab/>
            </w:r>
            <w:r>
              <w:fldChar w:fldCharType="begin"/>
            </w:r>
            <w:r>
              <w:instrText xml:space="preserve"> PAGEREF _Toc100025 \h </w:instrText>
            </w:r>
            <w:r>
              <w:fldChar w:fldCharType="separate"/>
            </w:r>
            <w:r>
              <w:t>15</w:t>
            </w:r>
            <w:r>
              <w:fldChar w:fldCharType="end"/>
            </w:r>
          </w:hyperlink>
        </w:p>
        <w:p>
          <w:pPr>
            <w:pStyle w:val="9"/>
            <w:tabs>
              <w:tab w:val="right" w:leader="dot" w:pos="9026"/>
            </w:tabs>
            <w:spacing w:before="120" w:after="60"/>
          </w:pPr>
          <w:hyperlink w:anchor="_Toc100026" w:history="1">
            <w:r>
              <w:rPr>
                <w:rStyle w:val="Hyperlink"/>
              </w:rPr>
              <w:t>9. Эксперимент II: DNS и a priori тесты (P4)</w:t>
            </w:r>
            <w:r>
              <w:tab/>
            </w:r>
            <w:r>
              <w:fldChar w:fldCharType="begin"/>
            </w:r>
            <w:r>
              <w:instrText xml:space="preserve"> PAGEREF _Toc100026 \h </w:instrText>
            </w:r>
            <w:r>
              <w:fldChar w:fldCharType="separate"/>
            </w:r>
            <w:r>
              <w:t>16</w:t>
            </w:r>
            <w:r>
              <w:fldChar w:fldCharType="end"/>
            </w:r>
          </w:hyperlink>
        </w:p>
        <w:p>
          <w:pPr>
            <w:pStyle w:val="11"/>
            <w:ind w:left="360"/>
            <w:tabs>
              <w:tab w:val="right" w:leader="dot" w:pos="9026"/>
            </w:tabs>
            <w:spacing w:before="120" w:after="60"/>
          </w:pPr>
          <w:hyperlink w:anchor="_Toc100027" w:history="1">
            <w:r>
              <w:rPr>
                <w:rStyle w:val="Hyperlink"/>
              </w:rPr>
              <w:t>9.1. Постановка численного эксперимента</w:t>
            </w:r>
            <w:r>
              <w:tab/>
            </w:r>
            <w:r>
              <w:fldChar w:fldCharType="begin"/>
            </w:r>
            <w:r>
              <w:instrText xml:space="preserve"> PAGEREF _Toc100027 \h </w:instrText>
            </w:r>
            <w:r>
              <w:fldChar w:fldCharType="separate"/>
            </w:r>
            <w:r>
              <w:t>16</w:t>
            </w:r>
            <w:r>
              <w:fldChar w:fldCharType="end"/>
            </w:r>
          </w:hyperlink>
        </w:p>
        <w:p>
          <w:pPr>
            <w:pStyle w:val="11"/>
            <w:ind w:left="360"/>
            <w:tabs>
              <w:tab w:val="right" w:leader="dot" w:pos="9026"/>
            </w:tabs>
            <w:spacing w:before="120" w:after="60"/>
          </w:pPr>
          <w:hyperlink w:anchor="_Toc100028" w:history="1">
            <w:r>
              <w:rPr>
                <w:rStyle w:val="Hyperlink"/>
              </w:rPr>
              <w:t>9.2. A priori тест на реальной турбулентности</w:t>
            </w:r>
            <w:r>
              <w:tab/>
            </w:r>
            <w:r>
              <w:fldChar w:fldCharType="begin"/>
            </w:r>
            <w:r>
              <w:instrText xml:space="preserve"> PAGEREF _Toc100028 \h </w:instrText>
            </w:r>
            <w:r>
              <w:fldChar w:fldCharType="separate"/>
            </w:r>
            <w:r>
              <w:t>16</w:t>
            </w:r>
            <w:r>
              <w:fldChar w:fldCharType="end"/>
            </w:r>
          </w:hyperlink>
        </w:p>
        <w:p>
          <w:pPr>
            <w:pStyle w:val="11"/>
            <w:ind w:left="360"/>
            <w:tabs>
              <w:tab w:val="right" w:leader="dot" w:pos="9026"/>
            </w:tabs>
            <w:spacing w:before="120" w:after="60"/>
          </w:pPr>
          <w:hyperlink w:anchor="_Toc100029" w:history="1">
            <w:r>
              <w:rPr>
                <w:rStyle w:val="Hyperlink"/>
              </w:rPr>
              <w:t>9.3. Честный бюджет погрешностей</w:t>
            </w:r>
            <w:r>
              <w:tab/>
            </w:r>
            <w:r>
              <w:fldChar w:fldCharType="begin"/>
            </w:r>
            <w:r>
              <w:instrText xml:space="preserve"> PAGEREF _Toc100029 \h </w:instrText>
            </w:r>
            <w:r>
              <w:fldChar w:fldCharType="separate"/>
            </w:r>
            <w:r>
              <w:t>17</w:t>
            </w:r>
            <w:r>
              <w:fldChar w:fldCharType="end"/>
            </w:r>
          </w:hyperlink>
        </w:p>
        <w:p>
          <w:pPr>
            <w:pStyle w:val="9"/>
            <w:tabs>
              <w:tab w:val="right" w:leader="dot" w:pos="9026"/>
            </w:tabs>
            <w:spacing w:before="120" w:after="60"/>
          </w:pPr>
          <w:hyperlink w:anchor="_Toc100030" w:history="1">
            <w:r>
              <w:rPr>
                <w:rStyle w:val="Hyperlink"/>
              </w:rPr>
              <w:t>10. Сводные результаты и сопоставление с литературой</w:t>
            </w:r>
            <w:r>
              <w:tab/>
            </w:r>
            <w:r>
              <w:fldChar w:fldCharType="begin"/>
            </w:r>
            <w:r>
              <w:instrText xml:space="preserve"> PAGEREF _Toc100030 \h </w:instrText>
            </w:r>
            <w:r>
              <w:fldChar w:fldCharType="separate"/>
            </w:r>
            <w:r>
              <w:t>17</w:t>
            </w:r>
            <w:r>
              <w:fldChar w:fldCharType="end"/>
            </w:r>
          </w:hyperlink>
        </w:p>
        <w:p>
          <w:pPr>
            <w:pStyle w:val="9"/>
            <w:tabs>
              <w:tab w:val="right" w:leader="dot" w:pos="9026"/>
            </w:tabs>
            <w:spacing w:before="120" w:after="60"/>
          </w:pPr>
          <w:hyperlink w:anchor="_Toc100031" w:history="1">
            <w:r>
              <w:rPr>
                <w:rStyle w:val="Hyperlink"/>
              </w:rPr>
              <w:t>11. Программа в контексте b-коррекции</w:t>
            </w:r>
            <w:r>
              <w:tab/>
            </w:r>
            <w:r>
              <w:fldChar w:fldCharType="begin"/>
            </w:r>
            <w:r>
              <w:instrText xml:space="preserve"> PAGEREF _Toc100031 \h </w:instrText>
            </w:r>
            <w:r>
              <w:fldChar w:fldCharType="separate"/>
            </w:r>
            <w:r>
              <w:t>18</w:t>
            </w:r>
            <w:r>
              <w:fldChar w:fldCharType="end"/>
            </w:r>
          </w:hyperlink>
        </w:p>
        <w:p>
          <w:pPr>
            <w:pStyle w:val="9"/>
            <w:tabs>
              <w:tab w:val="right" w:leader="dot" w:pos="9026"/>
            </w:tabs>
            <w:spacing w:before="120" w:after="60"/>
          </w:pPr>
          <w:hyperlink w:anchor="_Toc100032" w:history="1">
            <w:r>
              <w:rPr>
                <w:rStyle w:val="Hyperlink"/>
              </w:rPr>
              <w:t>12. Гладкость трёхмерных решений: критерии регулярности, b-протокол и спектральные сертификаты</w:t>
            </w:r>
            <w:r>
              <w:tab/>
            </w:r>
            <w:r>
              <w:fldChar w:fldCharType="begin"/>
            </w:r>
            <w:r>
              <w:instrText xml:space="preserve"> PAGEREF _Toc100032 \h </w:instrText>
            </w:r>
            <w:r>
              <w:fldChar w:fldCharType="separate"/>
            </w:r>
            <w:r>
              <w:t>19</w:t>
            </w:r>
            <w:r>
              <w:fldChar w:fldCharType="end"/>
            </w:r>
          </w:hyperlink>
        </w:p>
        <w:p>
          <w:pPr>
            <w:pStyle w:val="11"/>
            <w:ind w:left="360"/>
            <w:tabs>
              <w:tab w:val="right" w:leader="dot" w:pos="9026"/>
            </w:tabs>
            <w:spacing w:before="120" w:after="60"/>
          </w:pPr>
          <w:hyperlink w:anchor="_Toc100033" w:history="1">
            <w:r>
              <w:rPr>
                <w:rStyle w:val="Hyperlink"/>
              </w:rPr>
              <w:t>12.1. Иерархия критериев регулярности</w:t>
            </w:r>
            <w:r>
              <w:tab/>
            </w:r>
            <w:r>
              <w:fldChar w:fldCharType="begin"/>
            </w:r>
            <w:r>
              <w:instrText xml:space="preserve"> PAGEREF _Toc100033 \h </w:instrText>
            </w:r>
            <w:r>
              <w:fldChar w:fldCharType="separate"/>
            </w:r>
            <w:r>
              <w:t>20</w:t>
            </w:r>
            <w:r>
              <w:fldChar w:fldCharType="end"/>
            </w:r>
          </w:hyperlink>
        </w:p>
        <w:p>
          <w:pPr>
            <w:pStyle w:val="11"/>
            <w:ind w:left="360"/>
            <w:tabs>
              <w:tab w:val="right" w:leader="dot" w:pos="9026"/>
            </w:tabs>
            <w:spacing w:before="120" w:after="60"/>
          </w:pPr>
          <w:hyperlink w:anchor="_Toc100034" w:history="1">
            <w:r>
              <w:rPr>
                <w:rStyle w:val="Hyperlink"/>
              </w:rPr>
              <w:t>12.2. Растяжение завихренности и баланс энстрофии</w:t>
            </w:r>
            <w:r>
              <w:tab/>
            </w:r>
            <w:r>
              <w:fldChar w:fldCharType="begin"/>
            </w:r>
            <w:r>
              <w:instrText xml:space="preserve"> PAGEREF _Toc100034 \h </w:instrText>
            </w:r>
            <w:r>
              <w:fldChar w:fldCharType="separate"/>
            </w:r>
            <w:r>
              <w:t>21</w:t>
            </w:r>
            <w:r>
              <w:fldChar w:fldCharType="end"/>
            </w:r>
          </w:hyperlink>
        </w:p>
        <w:p>
          <w:pPr>
            <w:pStyle w:val="11"/>
            <w:ind w:left="360"/>
            <w:tabs>
              <w:tab w:val="right" w:leader="dot" w:pos="9026"/>
            </w:tabs>
            <w:spacing w:before="120" w:after="60"/>
          </w:pPr>
          <w:hyperlink w:anchor="_Toc100035" w:history="1">
            <w:r>
              <w:rPr>
                <w:rStyle w:val="Hyperlink"/>
              </w:rPr>
              <w:t>12.3. b-протокол на вихре Тейлора-Грина 48³</w:t>
            </w:r>
            <w:r>
              <w:tab/>
            </w:r>
            <w:r>
              <w:fldChar w:fldCharType="begin"/>
            </w:r>
            <w:r>
              <w:instrText xml:space="preserve"> PAGEREF _Toc100035 \h </w:instrText>
            </w:r>
            <w:r>
              <w:fldChar w:fldCharType="separate"/>
            </w:r>
            <w:r>
              <w:t>22</w:t>
            </w:r>
            <w:r>
              <w:fldChar w:fldCharType="end"/>
            </w:r>
          </w:hyperlink>
        </w:p>
        <w:p>
          <w:pPr>
            <w:pStyle w:val="11"/>
            <w:ind w:left="360"/>
            <w:tabs>
              <w:tab w:val="right" w:leader="dot" w:pos="9026"/>
            </w:tabs>
            <w:spacing w:before="120" w:after="60"/>
          </w:pPr>
          <w:hyperlink w:anchor="_Toc100036" w:history="1">
            <w:r>
              <w:rPr>
                <w:rStyle w:val="Hyperlink"/>
              </w:rPr>
              <w:t>12.4. Гипердиссипативное семейство и универсальный пик диссипации</w:t>
            </w:r>
            <w:r>
              <w:tab/>
            </w:r>
            <w:r>
              <w:fldChar w:fldCharType="begin"/>
            </w:r>
            <w:r>
              <w:instrText xml:space="preserve"> PAGEREF _Toc100036 \h </w:instrText>
            </w:r>
            <w:r>
              <w:fldChar w:fldCharType="separate"/>
            </w:r>
            <w:r>
              <w:t>22</w:t>
            </w:r>
            <w:r>
              <w:fldChar w:fldCharType="end"/>
            </w:r>
          </w:hyperlink>
        </w:p>
        <w:p>
          <w:pPr>
            <w:pStyle w:val="11"/>
            <w:ind w:left="360"/>
            <w:tabs>
              <w:tab w:val="right" w:leader="dot" w:pos="9026"/>
            </w:tabs>
            <w:spacing w:before="120" w:after="60"/>
          </w:pPr>
          <w:hyperlink w:anchor="_Toc100037" w:history="1">
            <w:r>
              <w:rPr>
                <w:rStyle w:val="Hyperlink"/>
              </w:rPr>
              <w:t>12.5. Спектральный сертификат гладкости</w:t>
            </w:r>
            <w:r>
              <w:tab/>
            </w:r>
            <w:r>
              <w:fldChar w:fldCharType="begin"/>
            </w:r>
            <w:r>
              <w:instrText xml:space="preserve"> PAGEREF _Toc100037 \h </w:instrText>
            </w:r>
            <w:r>
              <w:fldChar w:fldCharType="separate"/>
            </w:r>
            <w:r>
              <w:t>24</w:t>
            </w:r>
            <w:r>
              <w:fldChar w:fldCharType="end"/>
            </w:r>
          </w:hyperlink>
        </w:p>
        <w:p>
          <w:pPr>
            <w:pStyle w:val="11"/>
            <w:ind w:left="360"/>
            <w:tabs>
              <w:tab w:val="right" w:leader="dot" w:pos="9026"/>
            </w:tabs>
            <w:spacing w:before="120" w:after="60"/>
          </w:pPr>
          <w:hyperlink w:anchor="_Toc100038" w:history="1">
            <w:r>
              <w:rPr>
                <w:rStyle w:val="Hyperlink"/>
              </w:rPr>
              <w:t>12.6. Протокол P5 и трёхъязычная верификация</w:t>
            </w:r>
            <w:r>
              <w:tab/>
            </w:r>
            <w:r>
              <w:fldChar w:fldCharType="begin"/>
            </w:r>
            <w:r>
              <w:instrText xml:space="preserve"> PAGEREF _Toc100038 \h </w:instrText>
            </w:r>
            <w:r>
              <w:fldChar w:fldCharType="separate"/>
            </w:r>
            <w:r>
              <w:t>25</w:t>
            </w:r>
            <w:r>
              <w:fldChar w:fldCharType="end"/>
            </w:r>
          </w:hyperlink>
        </w:p>
        <w:p>
          <w:pPr>
            <w:pStyle w:val="11"/>
            <w:ind w:left="360"/>
            <w:tabs>
              <w:tab w:val="right" w:leader="dot" w:pos="9026"/>
            </w:tabs>
            <w:spacing w:before="120" w:after="60"/>
          </w:pPr>
          <w:hyperlink w:anchor="_Toc100039" w:history="1">
            <w:r>
              <w:rPr>
                <w:rStyle w:val="Hyperlink"/>
              </w:rPr>
              <w:t>12.7. Что устанавливает и что не устанавливает эта глава</w:t>
            </w:r>
            <w:r>
              <w:tab/>
            </w:r>
            <w:r>
              <w:fldChar w:fldCharType="begin"/>
            </w:r>
            <w:r>
              <w:instrText xml:space="preserve"> PAGEREF _Toc100039 \h </w:instrText>
            </w:r>
            <w:r>
              <w:fldChar w:fldCharType="separate"/>
            </w:r>
            <w:r>
              <w:t>25</w:t>
            </w:r>
            <w:r>
              <w:fldChar w:fldCharType="end"/>
            </w:r>
          </w:hyperlink>
        </w:p>
        <w:p>
          <w:pPr>
            <w:pStyle w:val="9"/>
            <w:tabs>
              <w:tab w:val="right" w:leader="dot" w:pos="9026"/>
            </w:tabs>
            <w:spacing w:before="120" w:after="60"/>
          </w:pPr>
          <w:hyperlink w:anchor="_Toc100040" w:history="1">
            <w:r>
              <w:rPr>
                <w:rStyle w:val="Hyperlink"/>
              </w:rPr>
              <w:t>13. Обсуждение: что утверждается и что нет</w:t>
            </w:r>
            <w:r>
              <w:tab/>
            </w:r>
            <w:r>
              <w:fldChar w:fldCharType="begin"/>
            </w:r>
            <w:r>
              <w:instrText xml:space="preserve"> PAGEREF _Toc100040 \h </w:instrText>
            </w:r>
            <w:r>
              <w:fldChar w:fldCharType="separate"/>
            </w:r>
            <w:r>
              <w:t>25</w:t>
            </w:r>
            <w:r>
              <w:fldChar w:fldCharType="end"/>
            </w:r>
          </w:hyperlink>
        </w:p>
        <w:p>
          <w:pPr>
            <w:pStyle w:val="9"/>
            <w:tabs>
              <w:tab w:val="right" w:leader="dot" w:pos="9026"/>
            </w:tabs>
            <w:spacing w:before="120" w:after="60"/>
          </w:pPr>
          <w:hyperlink w:anchor="_Toc100041" w:history="1">
            <w:r>
              <w:rPr>
                <w:rStyle w:val="Hyperlink"/>
              </w:rPr>
              <w:t>14. Заключение</w:t>
            </w:r>
            <w:r>
              <w:tab/>
            </w:r>
            <w:r>
              <w:fldChar w:fldCharType="begin"/>
            </w:r>
            <w:r>
              <w:instrText xml:space="preserve"> PAGEREF _Toc100041 \h </w:instrText>
            </w:r>
            <w:r>
              <w:fldChar w:fldCharType="separate"/>
            </w:r>
            <w:r>
              <w:t>26</w:t>
            </w:r>
            <w:r>
              <w:fldChar w:fldCharType="end"/>
            </w:r>
          </w:hyperlink>
        </w:p>
        <w:p>
          <w:pPr>
            <w:pStyle w:val="9"/>
            <w:tabs>
              <w:tab w:val="right" w:leader="dot" w:pos="9026"/>
            </w:tabs>
            <w:spacing w:before="120" w:after="60"/>
          </w:pPr>
          <w:hyperlink w:anchor="_Toc100042" w:history="1">
            <w:r>
              <w:rPr>
                <w:rStyle w:val="Hyperlink"/>
              </w:rPr>
              <w:t>Литература</w:t>
            </w:r>
            <w:r>
              <w:tab/>
            </w:r>
            <w:r>
              <w:fldChar w:fldCharType="begin"/>
            </w:r>
            <w:r>
              <w:instrText xml:space="preserve"> PAGEREF _Toc100042 \h </w:instrText>
            </w:r>
            <w:r>
              <w:fldChar w:fldCharType="separate"/>
            </w:r>
            <w:r>
              <w:t>26</w:t>
            </w:r>
            <w:r>
              <w:fldChar w:fldCharType="end"/>
            </w:r>
          </w:hyperlink>
        </w:p>
        <w:p>
          <w:pPr>
            <w:pStyle w:val="9"/>
            <w:tabs>
              <w:tab w:val="right" w:leader="dot" w:pos="9026"/>
            </w:tabs>
            <w:spacing w:before="120" w:after="60"/>
          </w:pPr>
          <w:hyperlink w:anchor="_Toc100043" w:history="1">
            <w:r>
              <w:rPr>
                <w:rStyle w:val="Hyperlink"/>
              </w:rPr>
              <w:t>Приложение A. Параметры протоколов</w:t>
            </w:r>
            <w:r>
              <w:tab/>
            </w:r>
            <w:r>
              <w:fldChar w:fldCharType="begin"/>
            </w:r>
            <w:r>
              <w:instrText xml:space="preserve"> PAGEREF _Toc100043 \h </w:instrText>
            </w:r>
            <w:r>
              <w:fldChar w:fldCharType="separate"/>
            </w:r>
            <w:r>
              <w:t>33</w:t>
            </w:r>
            <w:r>
              <w:fldChar w:fldCharType="end"/>
            </w:r>
          </w:hyperlink>
        </w:p>
        <w:p>
          <w:pPr>
            <w:pStyle w:val="9"/>
            <w:tabs>
              <w:tab w:val="right" w:leader="dot" w:pos="9026"/>
            </w:tabs>
            <w:spacing w:before="120" w:after="60"/>
          </w:pPr>
          <w:hyperlink w:anchor="_Toc100044" w:history="1">
            <w:r>
              <w:rPr>
                <w:rStyle w:val="Hyperlink"/>
              </w:rPr>
              <w:t>Приложение B. Карта конвенций и «фактор двойки»</w:t>
            </w:r>
            <w:r>
              <w:tab/>
            </w:r>
            <w:r>
              <w:fldChar w:fldCharType="begin"/>
            </w:r>
            <w:r>
              <w:instrText xml:space="preserve"> PAGEREF _Toc100044 \h </w:instrText>
            </w:r>
            <w:r>
              <w:fldChar w:fldCharType="separate"/>
            </w:r>
            <w:r>
              <w:t>33</w:t>
            </w:r>
            <w:r>
              <w:fldChar w:fldCharType="end"/>
            </w:r>
          </w:hyperlink>
        </w:p>
        <w:p>
          <w:pPr>
            <w:pStyle w:val="9"/>
            <w:tabs>
              <w:tab w:val="right" w:leader="dot" w:pos="9026"/>
            </w:tabs>
            <w:spacing w:before="120" w:after="60"/>
          </w:pPr>
          <w:hyperlink w:anchor="_Toc100045" w:history="1">
            <w:r>
              <w:rPr>
                <w:rStyle w:val="Hyperlink"/>
              </w:rPr>
              <w:t>Приложение C. Карта кода и воспроизводимость</w:t>
            </w:r>
            <w:r>
              <w:tab/>
            </w:r>
            <w:r>
              <w:fldChar w:fldCharType="begin"/>
            </w:r>
            <w:r>
              <w:instrText xml:space="preserve"> PAGEREF _Toc100045 \h </w:instrText>
            </w:r>
            <w:r>
              <w:fldChar w:fldCharType="separate"/>
            </w:r>
            <w:r>
              <w:t>34</w:t>
            </w:r>
            <w:r>
              <w:fldChar w:fldCharType="end"/>
            </w:r>
          </w:hyperlink>
        </w:p>
        <w:p>
          <w:r>
            <w:fldChar w:fldCharType="end"/>
          </w:r>
        </w:p>
      </w:sdtContent>
    </w:sdt>
    <w:p>
      <w:pPr>
        <w:spacing w:before="200"/>
      </w:pPr>
      <w:r>
        <w:rPr>
          <w:rFonts w:ascii="Times New Roman" w:eastAsia="Times New Roman" w:hAnsi="Times New Roman"/>
          <w:i/>
          <w:iCs/>
          <w:color w:val="888888"/>
          <w:sz w:val="18"/>
          <w:szCs w:val="18"/>
        </w:rPr>
        <w:t xml:space="preserve">Примечание: оглавление построено на полях документа. После редактирования обновите номера страниц: правый клик по оглавлению → «Обновить поле».</w:t>
      </w:r>
    </w:p>
    <w:p>
      <w:r>
        <w:br w:type="page"/>
      </w:r>
    </w:p>
    <w:p>
      <w:pPr>
        <w:sectPr>
          <w:headerReference w:type="default" r:id="rId6"/>
          <w:footerReference w:type="default" r:id="rId7"/>
          <w:type w:val="nextPage"/>
          <w:pgSz w:w="11906" w:h="16838" w:orient="portrait"/>
          <w:pgMar w:top="1440" w:right="1417" w:bottom="1440" w:left="1701" w:header="850" w:footer="992" w:gutter="0"/>
          <w:pgNumType w:start="1" w:fmt="upperRoman"/>
          <w:docGrid w:linePitch="360"/>
        </w:sectPr>
      </w:pPr>
    </w:p>
    <w:p>
      <w:pPr>
        <w:pStyle w:val="Heading1"/>
        <w:spacing w:after="240" w:before="480" w:line="360"/>
      </w:pPr>
      <w:bookmarkStart w:id="100000" w:name="_Toc100000"/>
      <w:r>
        <w:rPr>
          <w:rFonts w:ascii="Times New Roman" w:eastAsia="Times New Roman" w:hAnsi="Times New Roman"/>
          <w:b/>
          <w:bCs/>
          <w:color w:val="000000"/>
          <w:sz w:val="32"/>
          <w:szCs w:val="32"/>
        </w:rPr>
        <w:t xml:space="preserve">1. Введение: две константы и один вопрос</w:t>
      </w:r>
      <w:bookmarkEnd w:id="100000"/>
    </w:p>
    <w:p>
      <w:pPr>
        <w:spacing w:after="80" w:line="360"/>
        <w:ind w:firstLine="709"/>
        <w:jc w:val="both"/>
      </w:pPr>
      <w:r>
        <w:rPr>
          <w:rFonts w:ascii="Times New Roman" w:eastAsia="Times New Roman" w:hAnsi="Times New Roman"/>
          <w:color w:val="000000"/>
          <w:sz w:val="24"/>
          <w:szCs w:val="24"/>
        </w:rPr>
        <w:t xml:space="preserve">У статистической теории турбулентности есть две величины, которые справедливо назвать самыми знаменитыми неопределёнными константами физики континуума. Первая — постоянная Колмогорова &lt;b&gt;C_K&lt;/b&gt;: амплитуда инерционного интервала спектра кинетической энергии, введённая в классических работах 1941 года. Вторая — постоянная Смагоринского &lt;b&gt;C_s&lt;/b&gt;: коэффициент замыкания подсеточной вязкости, на котором держится практически каждый крупномасштабный численный расчёт турбулентности — от атмосферных моделей до акустических симуляторов. Восемьдесят лет измерений дали для первой значение 1.50 ± 0.05, сорок лет испытаний — для второй 0.17 ± 0.02. Обе величины измерены, но ни одна не выведена: самоподобие каскада фиксирует наклон спектра, но не его амплитуду.</w:t>
      </w:r>
    </w:p>
    <w:p>
      <w:pPr>
        <w:spacing w:after="80" w:line="360"/>
        <w:ind w:firstLine="709"/>
        <w:jc w:val="both"/>
      </w:pPr>
      <w:r>
        <w:rPr>
          <w:rFonts w:ascii="Times New Roman" w:eastAsia="Times New Roman" w:hAnsi="Times New Roman"/>
          <w:color w:val="000000"/>
          <w:sz w:val="24"/>
          <w:szCs w:val="24"/>
        </w:rPr>
        <w:t xml:space="preserve">Между тем эти две константы описывают один и тот же объект — инерционный интервал — с двух сторон. C_K характеризует, сколько кинетической энергии распределено по масштабам в разрезе спектра; C_s — с какой скоростью замыкание Смагоринского перекачивает энергию через границу разрешения в LES. Естественно возникает вопрос, вынесенный в заголовок программы: &lt;b&gt;являются ли C_K и C_s независимыми эмпирическими параметрами или двумя лигами одного и того же каскада?&lt;/b&gt; Настоящая монография показывает, что они связаны жёстким соотношением замкнутого вида, не содержащим подгоночных параметров.</w:t>
      </w:r>
    </w:p>
    <w:p>
      <w:pPr>
        <w:spacing w:after="80" w:line="360"/>
        <w:ind w:firstLine="709"/>
        <w:jc w:val="both"/>
      </w:pPr>
      <w:r>
        <w:rPr>
          <w:rFonts w:ascii="Times New Roman" w:eastAsia="Times New Roman" w:hAnsi="Times New Roman"/>
          <w:color w:val="000000"/>
          <w:sz w:val="24"/>
          <w:szCs w:val="24"/>
        </w:rPr>
        <w:t xml:space="preserve">Основной результат программы записывается одной формулой: согласование подсеточного потока диссипации замыкания Смагоринского с колмогоровским потоком через инерционный интервал даёт &lt;b&gt;C_s = 1/(π(3C_K/2)^{3/4})&lt;/b&gt;. При экспериментальном значении C_K = 1.50 формула даёт C_s = 0.17327 — что совпадает с классическим значением Лилли 0.17326 с точностью 6·10⁻⁶. Две самые знаменитые константы турбулентности оказываются, в этом смысле, одной константой, рассматриваемой дважды: один раз как амплитуда спектра, второй — как коэффициент замыкания.</w:t>
      </w:r>
    </w:p>
    <w:p>
      <w:pPr>
        <w:spacing w:after="80" w:line="360"/>
        <w:ind w:firstLine="709"/>
        <w:jc w:val="both"/>
      </w:pPr>
      <w:r>
        <w:rPr>
          <w:rFonts w:ascii="Times New Roman" w:eastAsia="Times New Roman" w:hAnsi="Times New Roman"/>
          <w:color w:val="000000"/>
          <w:sz w:val="24"/>
          <w:szCs w:val="24"/>
        </w:rPr>
        <w:t xml:space="preserve">Программа устроена так, чтобы каждый шаг вывода был исполнен, а не постулирован. Четыре численных протокола — P1 (мастер-соотношение и чувствительность к фильтрам), P2 (замыкания Гейзенберга и Пао), P3 (монте-карловская верификация на синтетических K41-полях) и P4 (3D псевдоспектральный DNS с a priori тестами) — реализованы на Python, а их аналитическое ядро продублировано на C++ (с двойной точностью) и Julia. Все три языка согласуются до 5–6 значащих цифр; все числа зафиксированы в JSON-протоколах с хэшами исходных кодов. Полная регенерация занимает около пятнадцати минут на ноутбуке.</w:t>
      </w:r>
    </w:p>
    <w:p>
      <w:pPr>
        <w:spacing w:after="80" w:line="360"/>
        <w:ind w:firstLine="709"/>
        <w:jc w:val="both"/>
      </w:pPr>
      <w:r>
        <w:rPr>
          <w:rFonts w:ascii="Times New Roman" w:eastAsia="Times New Roman" w:hAnsi="Times New Roman"/>
          <w:color w:val="000000"/>
          <w:sz w:val="24"/>
          <w:szCs w:val="24"/>
        </w:rPr>
        <w:t xml:space="preserve">Работа сознательно встроена в родительский репозиторий navier-stokes-b — программу универсальной b-коррекции b = 1/(4π + 2√3), где к проблеме глобальной регулярности 3D уравнений Навье–Стокса подходит через энергетически нейтральный геометрический поворот. Настоящая монография исследует классический, диссипативный полюс той же проблемы; глава 11 сопоставляет оба механизма — геометрический и статистический — как две стратегии обуздания одного и того же нелинейного переноса.</w:t>
      </w:r>
    </w:p>
    <w:p>
      <w:pPr>
        <w:pStyle w:val="Heading1"/>
        <w:spacing w:after="240" w:before="480" w:line="360"/>
      </w:pPr>
      <w:bookmarkStart w:id="100001" w:name="_Toc100001"/>
      <w:r>
        <w:rPr>
          <w:rFonts w:ascii="Times New Roman" w:eastAsia="Times New Roman" w:hAnsi="Times New Roman"/>
          <w:b/>
          <w:bCs/>
          <w:color w:val="000000"/>
          <w:sz w:val="32"/>
          <w:szCs w:val="32"/>
        </w:rPr>
        <w:t xml:space="preserve">2. Математический аппарат</w:t>
      </w:r>
      <w:bookmarkEnd w:id="100001"/>
    </w:p>
    <w:p>
      <w:pPr>
        <w:pStyle w:val="Heading2"/>
        <w:spacing w:after="160" w:before="320" w:line="360"/>
      </w:pPr>
      <w:bookmarkStart w:id="100002" w:name="_Toc100002"/>
      <w:r>
        <w:rPr>
          <w:rFonts w:ascii="Times New Roman" w:eastAsia="Times New Roman" w:hAnsi="Times New Roman"/>
          <w:b/>
          <w:bCs/>
          <w:color w:val="000000"/>
          <w:sz w:val="28"/>
          <w:szCs w:val="28"/>
        </w:rPr>
        <w:t xml:space="preserve">2.1. Уравнения и обозначения</w:t>
      </w:r>
      <w:bookmarkEnd w:id="100002"/>
    </w:p>
    <w:p>
      <w:pPr>
        <w:spacing w:after="80" w:line="360"/>
        <w:ind w:firstLine="709"/>
        <w:jc w:val="both"/>
      </w:pPr>
      <w:r>
        <w:rPr>
          <w:rFonts w:ascii="Times New Roman" w:eastAsia="Times New Roman" w:hAnsi="Times New Roman"/>
          <w:color w:val="000000"/>
          <w:sz w:val="24"/>
          <w:szCs w:val="24"/>
        </w:rPr>
        <w:t xml:space="preserve">Мы работаем с несжимаемыми уравнениями Навье–Стокса в единицах постоянной плотности на периодическом домене:</w:t>
      </w:r>
    </w:p>
    <w:p>
      <w:pPr>
        <w:spacing w:after="40" w:before="160"/>
        <w:jc w:val="center"/>
      </w:pPr>
      <w:r>
        <w:drawing>
          <wp:inline distT="0" distB="0" distL="0" distR="0">
            <wp:extent cx="3809048" cy="4951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09048" cy="49517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(2.1)</w:t>
      </w:r>
    </w:p>
    <w:p>
      <w:pPr>
        <w:spacing w:after="80" w:line="360"/>
        <w:ind w:firstLine="709"/>
        <w:jc w:val="both"/>
      </w:pPr>
      <w:r>
        <w:rPr>
          <w:rFonts w:ascii="Times New Roman" w:eastAsia="Times New Roman" w:hAnsi="Times New Roman"/>
          <w:color w:val="000000"/>
          <w:sz w:val="24"/>
          <w:szCs w:val="24"/>
        </w:rPr>
        <w:t xml:space="preserve">Здесь u_i — компоненты скорости, p — давление, ν — кинематическая вязкость. Диссипация энергии и колмогоровский масштаб определяются стандартным образом:</w:t>
      </w:r>
    </w:p>
    <w:p>
      <w:pPr>
        <w:spacing w:after="40" w:before="160"/>
        <w:jc w:val="center"/>
      </w:pPr>
      <w:r>
        <w:drawing>
          <wp:inline distT="0" distB="0" distL="0" distR="0">
            <wp:extent cx="3809048" cy="749113"/>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09048" cy="749113"/>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(2.2)</w:t>
      </w:r>
    </w:p>
    <w:p>
      <w:pPr>
        <w:spacing w:after="80" w:line="360"/>
        <w:ind w:firstLine="709"/>
        <w:jc w:val="both"/>
      </w:pPr>
      <w:r>
        <w:rPr>
          <w:rFonts w:ascii="Times New Roman" w:eastAsia="Times New Roman" w:hAnsi="Times New Roman"/>
          <w:color w:val="000000"/>
          <w:sz w:val="24"/>
          <w:szCs w:val="24"/>
        </w:rPr>
        <w:t xml:space="preserve">Для однородной изотропной турбулентности базовой характеристикой служит спектр кинетической энергии E(k), определённый равенствами (2.3): интеграл спектра равен половине среднего квадрата скорости (кинетической энергии на единицу массы), а диссипация выражается через тот же спектр с весом 2νk². Оба тождества в этой работе не только используются аналитически, но и проверены численно с машинной точностью — вопросу конвенций посвящена глава 4.3 и приложение B.</w:t>
      </w:r>
    </w:p>
    <w:p>
      <w:pPr>
        <w:spacing w:after="40" w:before="160"/>
        <w:jc w:val="center"/>
      </w:pPr>
      <w:r>
        <w:drawing>
          <wp:inline distT="0" distB="0" distL="0" distR="0">
            <wp:extent cx="3809048" cy="431692"/>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09048" cy="431692"/>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(2.3)</w:t>
      </w:r>
    </w:p>
    <w:p>
      <w:pPr>
        <w:pStyle w:val="Heading2"/>
        <w:spacing w:after="160" w:before="320" w:line="360"/>
      </w:pPr>
      <w:bookmarkStart w:id="100003" w:name="_Toc100003"/>
      <w:r>
        <w:rPr>
          <w:rFonts w:ascii="Times New Roman" w:eastAsia="Times New Roman" w:hAnsi="Times New Roman"/>
          <w:b/>
          <w:bCs/>
          <w:color w:val="000000"/>
          <w:sz w:val="28"/>
          <w:szCs w:val="28"/>
        </w:rPr>
        <w:t xml:space="preserve">2.2. Фильтрация и формализм LES</w:t>
      </w:r>
      <w:bookmarkEnd w:id="100003"/>
    </w:p>
    <w:p>
      <w:pPr>
        <w:spacing w:after="80" w:line="360"/>
        <w:ind w:firstLine="709"/>
        <w:jc w:val="both"/>
      </w:pPr>
      <w:r>
        <w:rPr>
          <w:rFonts w:ascii="Times New Roman" w:eastAsia="Times New Roman" w:hAnsi="Times New Roman"/>
          <w:color w:val="000000"/>
          <w:sz w:val="24"/>
          <w:szCs w:val="24"/>
        </w:rPr>
        <w:t xml:space="preserve">Крупновихревое моделирование (LES) разделяет поле скорости на разрешённую и подсеточную части линейным фильтром с шириной Δ. Мы используем три семейства фильтров: спектральный срез G(k) = 1 при k &lt; k_c = π/Δ и нуль иначе; гауссов фильтр G(k) = exp(−k²Δ²/24), где Δ есть параметр ширины; и прямоугольный (box) фильтр G(k) = sinc(kΔ/2). Фильтрованное поле обозначается чертой, двойная фильтрация — тильдой.</w:t>
      </w:r>
    </w:p>
    <w:p>
      <w:pPr>
        <w:spacing w:after="80" w:line="360"/>
        <w:ind w:firstLine="709"/>
        <w:jc w:val="both"/>
      </w:pPr>
      <w:r>
        <w:rPr>
          <w:rFonts w:ascii="Times New Roman" w:eastAsia="Times New Roman" w:hAnsi="Times New Roman"/>
          <w:color w:val="000000"/>
          <w:sz w:val="24"/>
          <w:szCs w:val="24"/>
        </w:rPr>
        <w:t xml:space="preserve">Подсеточные напряжения τ_ij = ū_iū_j − \widetilde{u_iu_j} не замыкаются уравнениями для разрешённой компоненты, и вся практика LES состоит в их моделировании. Замыкание Смагоринского (1963) постулирует локальный равновесный отклик подсетки на сдвиг разрешённого течения в виде вихревой вязкости:</w:t>
      </w:r>
    </w:p>
    <w:p>
      <w:pPr>
        <w:spacing w:after="40" w:before="160"/>
        <w:jc w:val="center"/>
      </w:pPr>
      <w:r>
        <w:drawing>
          <wp:inline distT="0" distB="0" distL="0" distR="0">
            <wp:extent cx="3809048" cy="41899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09048" cy="418995"/>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(2.4)</w:t>
      </w:r>
    </w:p>
    <w:p>
      <w:pPr>
        <w:spacing w:after="80" w:line="360"/>
        <w:ind w:firstLine="709"/>
        <w:jc w:val="both"/>
      </w:pPr>
      <w:r>
        <w:rPr>
          <w:rFonts w:ascii="Times New Roman" w:eastAsia="Times New Roman" w:hAnsi="Times New Roman"/>
          <w:color w:val="000000"/>
          <w:sz w:val="24"/>
          <w:szCs w:val="24"/>
        </w:rPr>
        <w:t xml:space="preserve">Тождество Германо связывает напряжения двух уровней фильтрации и лежит в основе динамической процедуры (глава 6): для уровней Δ̄ и Δ̃ = α_d Δ̄ резольвента L_ij имеет вид (2.5) и удовлетворяет соотношению Германо ⟨L_ij⟩-типа, позволяющему вычислять C_s локально, без внешней калибровки:</w:t>
      </w:r>
    </w:p>
    <w:p>
      <w:pPr>
        <w:spacing w:after="40" w:before="160"/>
        <w:jc w:val="center"/>
      </w:pPr>
      <w:r>
        <w:drawing>
          <wp:inline distT="0" distB="0" distL="0" distR="0">
            <wp:extent cx="3809048" cy="1003049"/>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09048" cy="1003049"/>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(2.5)</w:t>
      </w:r>
    </w:p>
    <w:p>
      <w:pPr>
        <w:pStyle w:val="Heading2"/>
        <w:spacing w:after="160" w:before="320" w:line="360"/>
      </w:pPr>
      <w:bookmarkStart w:id="100004" w:name="_Toc100004"/>
      <w:r>
        <w:rPr>
          <w:rFonts w:ascii="Times New Roman" w:eastAsia="Times New Roman" w:hAnsi="Times New Roman"/>
          <w:b/>
          <w:bCs/>
          <w:color w:val="000000"/>
          <w:sz w:val="28"/>
          <w:szCs w:val="28"/>
        </w:rPr>
        <w:t xml:space="preserve">2.3. Конвенции, о которых обычно молчат</w:t>
      </w:r>
      <w:bookmarkEnd w:id="100004"/>
    </w:p>
    <w:p>
      <w:pPr>
        <w:spacing w:after="80" w:line="360"/>
        <w:ind w:firstLine="709"/>
        <w:jc w:val="both"/>
      </w:pPr>
      <w:r>
        <w:rPr>
          <w:rFonts w:ascii="Times New Roman" w:eastAsia="Times New Roman" w:hAnsi="Times New Roman"/>
          <w:color w:val="000000"/>
          <w:sz w:val="24"/>
          <w:szCs w:val="24"/>
        </w:rPr>
        <w:t xml:space="preserve">Значительная часть расхождений в литературных значениях C_s — от 0.12 до 0.24 — объясняется не физикой, а соглашениями: что называть |S̄| (с двойкой или без), где заканчивается интеграл разрешения, нормирован ли спектр на кинетическую энергию или на дисперсию. Настоящая программа фиксирует конвенции явно и — что важнее — проверяет каждое из тождеств численно. Подробная карта «фактора двойки» приведена в приложении B; ключевое следствие: спектр E(k) определяется как кинетический, ∫E dk = ½⟨u²⟩, а энергия оболочки на сетке равна удвоенному значению спектра. В этих конвенциях все классические результаты — ε = 2ν∫k²E dk, ⟨|S̄|²⟩ = 2∫k²E G² dk — выполняются одновременно, и значение Лилли 0.173 восстанавливается без подгонок.</w:t>
      </w:r>
    </w:p>
    <w:p>
      <w:pPr>
        <w:pStyle w:val="Heading1"/>
        <w:spacing w:after="240" w:before="480" w:line="360"/>
      </w:pPr>
      <w:bookmarkStart w:id="100005" w:name="_Toc100005"/>
      <w:r>
        <w:rPr>
          <w:rFonts w:ascii="Times New Roman" w:eastAsia="Times New Roman" w:hAnsi="Times New Roman"/>
          <w:b/>
          <w:bCs/>
          <w:color w:val="000000"/>
          <w:sz w:val="32"/>
          <w:szCs w:val="32"/>
        </w:rPr>
        <w:t xml:space="preserve">3. Теория K41 и то, что она не фиксирует</w:t>
      </w:r>
      <w:bookmarkEnd w:id="100005"/>
    </w:p>
    <w:p>
      <w:pPr>
        <w:pStyle w:val="Heading2"/>
        <w:spacing w:after="160" w:before="320" w:line="360"/>
      </w:pPr>
      <w:bookmarkStart w:id="100006" w:name="_Toc100006"/>
      <w:r>
        <w:rPr>
          <w:rFonts w:ascii="Times New Roman" w:eastAsia="Times New Roman" w:hAnsi="Times New Roman"/>
          <w:b/>
          <w:bCs/>
          <w:color w:val="000000"/>
          <w:sz w:val="28"/>
          <w:szCs w:val="28"/>
        </w:rPr>
        <w:t xml:space="preserve">3.1. Гипотезы Колмогорова и спектр −5/3</w:t>
      </w:r>
      <w:bookmarkEnd w:id="100006"/>
    </w:p>
    <w:p>
      <w:pPr>
        <w:spacing w:after="80" w:line="360"/>
        <w:ind w:firstLine="709"/>
        <w:jc w:val="both"/>
      </w:pPr>
      <w:r>
        <w:rPr>
          <w:rFonts w:ascii="Times New Roman" w:eastAsia="Times New Roman" w:hAnsi="Times New Roman"/>
          <w:color w:val="000000"/>
          <w:sz w:val="24"/>
          <w:szCs w:val="24"/>
        </w:rPr>
        <w:t xml:space="preserve">Три гипотезы Колмогорова 1941 года — локальность переноса по масштабам, статистическая однородность и изотропия малых масштабов, и определяемость статистики малых масштабов парой (ε, ν) — приводят к единственной размерно непротиворечивой форме спектра в инерционном интервале (3.1). Наклон −5/3 подтверждается с точностью в несколько процентов в лабораторных, атмосферных и океанских измерениях и в численных экспериментах; вместе с точным законом 4/5 (3.2) он составляет жёсткий каркас теории.</w:t>
      </w:r>
    </w:p>
    <w:p>
      <w:pPr>
        <w:spacing w:after="40" w:before="160"/>
        <w:jc w:val="center"/>
      </w:pPr>
      <w:r>
        <w:drawing>
          <wp:inline distT="0" distB="0" distL="0" distR="0">
            <wp:extent cx="3809048" cy="6983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09048" cy="698325"/>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(3.1)</w:t>
      </w:r>
    </w:p>
    <w:p>
      <w:pPr>
        <w:spacing w:after="40" w:before="160"/>
        <w:jc w:val="center"/>
      </w:pPr>
      <w:r>
        <w:drawing>
          <wp:inline distT="0" distB="0" distL="0" distR="0">
            <wp:extent cx="3809048" cy="876081"/>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09048" cy="876081"/>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(3.2)</w:t>
      </w:r>
    </w:p>
    <w:p>
      <w:pPr>
        <w:pStyle w:val="Heading2"/>
        <w:spacing w:after="160" w:before="320" w:line="360"/>
      </w:pPr>
      <w:bookmarkStart w:id="100007" w:name="_Toc100007"/>
      <w:r>
        <w:rPr>
          <w:rFonts w:ascii="Times New Roman" w:eastAsia="Times New Roman" w:hAnsi="Times New Roman"/>
          <w:b/>
          <w:bCs/>
          <w:color w:val="000000"/>
          <w:sz w:val="28"/>
          <w:szCs w:val="28"/>
        </w:rPr>
        <w:t xml:space="preserve">3.2. Константа C_K: статус</w:t>
      </w:r>
      <w:bookmarkEnd w:id="100007"/>
    </w:p>
    <w:p>
      <w:pPr>
        <w:spacing w:after="80" w:line="360"/>
        <w:ind w:firstLine="709"/>
        <w:jc w:val="both"/>
      </w:pPr>
      <w:r>
        <w:rPr>
          <w:rFonts w:ascii="Times New Roman" w:eastAsia="Times New Roman" w:hAnsi="Times New Roman"/>
          <w:color w:val="000000"/>
          <w:sz w:val="24"/>
          <w:szCs w:val="24"/>
        </w:rPr>
        <w:t xml:space="preserve">Самоподобие каскада не фиксирует амплитуду спектра: C_K остаётся свободным множителем, который должен поставляться измерением, замыканием или численным экспериментом. Наиболее цитируемое усреднённое значение — C_K = 1.50 ± 0.05 (обзор Sreenivasan 1995); отдельные определения — от 1.40 (приливные измерения Гранта и др.) до 1.77 (эйлерово замыкание DIA Крайхнана). Замыкание с лагранжевой историей (LhDIA, 1965) даёт 1.52 — самое близкое к эксперименту теоретическое значение. Таблица 3.1 суммирует выборку определений; полный обзор — в главе 10.</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153"/>
        <w:gridCol w:w="2153"/>
        <w:gridCol w:w="2153"/>
        <w:gridCol w:w="2153"/>
      </w:tblGrid>
      <w:tr>
        <w:trPr>
          <w:cantSplit/>
          <w:tblHeader/>
        </w:trPr>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Источник</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Год</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Метод</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C_K</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Grant, Stewart, Moilliet</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1962</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приливный канал</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1.46</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Champagne</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1978</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аэродинамическая труба</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1.50</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Kraichnan (DIA)</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1959</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эйлерово замыкание</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1.77</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Kraichnan (LhDIA)</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1965</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лагранжево замыкание</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1.52</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Sreenivasan (обзор)</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1995</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метаанализ</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1.50 ± 0.05</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Yeung, Zhou</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1997</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DNS 256³</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1.62</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Kaneda et al.</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2003</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DNS 4096³</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1.54</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Эта работа (P2)</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2026</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замыкание Гейзенберга</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1.48</w:t>
            </w:r>
          </w:p>
        </w:tc>
      </w:tr>
    </w:tbl>
    <w:p>
      <w:pPr>
        <w:spacing w:after="200" w:before="60"/>
        <w:jc w:val="center"/>
      </w:pPr>
      <w:r>
        <w:rPr>
          <w:rFonts w:ascii="Times New Roman" w:eastAsia="Times New Roman" w:hAnsi="Times New Roman"/>
          <w:i/>
          <w:iCs/>
          <w:color w:val="555555"/>
          <w:sz w:val="20"/>
          <w:szCs w:val="20"/>
        </w:rPr>
        <w:t xml:space="preserve">Таблица 3.1. Определения постоянной Колмогорова.</w:t>
      </w:r>
    </w:p>
    <w:p>
      <w:pPr>
        <w:pStyle w:val="Heading2"/>
        <w:spacing w:after="160" w:before="320" w:line="360"/>
      </w:pPr>
      <w:bookmarkStart w:id="100008" w:name="_Toc100008"/>
      <w:r>
        <w:rPr>
          <w:rFonts w:ascii="Times New Roman" w:eastAsia="Times New Roman" w:hAnsi="Times New Roman"/>
          <w:b/>
          <w:bCs/>
          <w:color w:val="000000"/>
          <w:sz w:val="28"/>
          <w:szCs w:val="28"/>
        </w:rPr>
        <w:t xml:space="preserve">3.3. Что требуется для замыкания системы</w:t>
      </w:r>
      <w:bookmarkEnd w:id="100008"/>
    </w:p>
    <w:p>
      <w:pPr>
        <w:spacing w:after="80" w:line="360"/>
        <w:ind w:firstLine="709"/>
        <w:jc w:val="both"/>
      </w:pPr>
      <w:r>
        <w:rPr>
          <w:rFonts w:ascii="Times New Roman" w:eastAsia="Times New Roman" w:hAnsi="Times New Roman"/>
          <w:color w:val="000000"/>
          <w:sz w:val="24"/>
          <w:szCs w:val="24"/>
        </w:rPr>
        <w:t xml:space="preserve">Для того чтобы связать C_K и C_s, не хватает одного тождества, связывающего разрешённую деформацию со спектром. Его поставляет точная спектральная формула для однородной изотропной turbulence, проверенная в главе 8 на полях напрямую: средний квадрат деформации фильтрованного поля выражается через спектр с фильтровым весом (3.3). Именно эта формула делает возможным вывод главы 4 — и именно её численная верификация отличает настоящий вывод от умозрительных рассуждений.</w:t>
      </w:r>
    </w:p>
    <w:p>
      <w:pPr>
        <w:spacing w:after="40" w:before="160"/>
        <w:jc w:val="center"/>
      </w:pPr>
      <w:r>
        <w:drawing>
          <wp:inline distT="0" distB="0" distL="0" distR="0">
            <wp:extent cx="3809048" cy="711022"/>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09048" cy="711022"/>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(3.3)</w:t>
      </w:r>
    </w:p>
    <w:p>
      <w:pPr>
        <w:pStyle w:val="Heading1"/>
        <w:spacing w:after="240" w:before="480" w:line="360"/>
      </w:pPr>
      <w:bookmarkStart w:id="100009" w:name="_Toc100009"/>
      <w:r>
        <w:rPr>
          <w:rFonts w:ascii="Times New Roman" w:eastAsia="Times New Roman" w:hAnsi="Times New Roman"/>
          <w:b/>
          <w:bCs/>
          <w:color w:val="000000"/>
          <w:sz w:val="32"/>
          <w:szCs w:val="32"/>
        </w:rPr>
        <w:t xml:space="preserve">4. Вывод I: мастер-соотношение C_s(C_K)</w:t>
      </w:r>
      <w:bookmarkEnd w:id="100009"/>
    </w:p>
    <w:p>
      <w:pPr>
        <w:pStyle w:val="Heading2"/>
        <w:spacing w:after="160" w:before="320" w:line="360"/>
      </w:pPr>
      <w:bookmarkStart w:id="100010" w:name="_Toc100010"/>
      <w:r>
        <w:rPr>
          <w:rFonts w:ascii="Times New Roman" w:eastAsia="Times New Roman" w:hAnsi="Times New Roman"/>
          <w:b/>
          <w:bCs/>
          <w:color w:val="000000"/>
          <w:sz w:val="28"/>
          <w:szCs w:val="28"/>
        </w:rPr>
        <w:t xml:space="preserve">4.1. Подсеточный бюджет</w:t>
      </w:r>
      <w:bookmarkEnd w:id="100010"/>
    </w:p>
    <w:p>
      <w:pPr>
        <w:spacing w:after="80" w:line="360"/>
        <w:ind w:firstLine="709"/>
        <w:jc w:val="both"/>
      </w:pPr>
      <w:r>
        <w:rPr>
          <w:rFonts w:ascii="Times New Roman" w:eastAsia="Times New Roman" w:hAnsi="Times New Roman"/>
          <w:color w:val="000000"/>
          <w:sz w:val="24"/>
          <w:szCs w:val="24"/>
        </w:rPr>
        <w:t xml:space="preserve">Первый бюджет — подсеточный. Замыкание Смагоринского перекачивает разрешённую энергию в подсетку со скоростью, которая вычисляется точно, без всякой статистики. Подстановка замыкания (2.4) в мгновенную диссипацию τ_ij S̄_ij даёт, с учётом тождества S̄_ij S̄_ij = |S̄|²/2, выражение (4.1):</w:t>
      </w:r>
    </w:p>
    <w:p>
      <w:pPr>
        <w:spacing w:after="40" w:before="160"/>
        <w:jc w:val="center"/>
      </w:pPr>
      <w:r>
        <w:drawing>
          <wp:inline distT="0" distB="0" distL="0" distR="0">
            <wp:extent cx="3809048" cy="495176"/>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09048" cy="49517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(4.1)</w:t>
      </w:r>
    </w:p>
    <w:p>
      <w:pPr>
        <w:spacing w:after="80" w:line="360"/>
        <w:ind w:firstLine="709"/>
        <w:jc w:val="both"/>
      </w:pPr>
      <w:r>
        <w:rPr>
          <w:rFonts w:ascii="Times New Roman" w:eastAsia="Times New Roman" w:hAnsi="Times New Roman"/>
          <w:color w:val="000000"/>
          <w:sz w:val="24"/>
          <w:szCs w:val="24"/>
        </w:rPr>
        <w:t xml:space="preserve">Заметим, что здесь ровно одна двойка: она вошла в определение нормы |S̄|² = 2S̄_ij S̄_ij и сократилась. В литературе встречаются обе формы записи — с одной и с двумя степенями двойки; путаница между ними сдвигает C_s на множитель 2^{3/4} ≈ 1.68 без единой арифметической ошибки. Мы возвращаемся к этому в приложении B.</w:t>
      </w:r>
    </w:p>
    <w:p>
      <w:pPr>
        <w:pStyle w:val="Heading2"/>
        <w:spacing w:after="160" w:before="320" w:line="360"/>
      </w:pPr>
      <w:bookmarkStart w:id="100011" w:name="_Toc100011"/>
      <w:r>
        <w:rPr>
          <w:rFonts w:ascii="Times New Roman" w:eastAsia="Times New Roman" w:hAnsi="Times New Roman"/>
          <w:b/>
          <w:bCs/>
          <w:color w:val="000000"/>
          <w:sz w:val="28"/>
          <w:szCs w:val="28"/>
        </w:rPr>
        <w:t xml:space="preserve">4.2. Каскадный бюджет и согласование</w:t>
      </w:r>
      <w:bookmarkEnd w:id="100011"/>
    </w:p>
    <w:p>
      <w:pPr>
        <w:spacing w:after="80" w:line="360"/>
        <w:ind w:firstLine="709"/>
        <w:jc w:val="both"/>
      </w:pPr>
      <w:r>
        <w:rPr>
          <w:rFonts w:ascii="Times New Roman" w:eastAsia="Times New Roman" w:hAnsi="Times New Roman"/>
          <w:color w:val="000000"/>
          <w:sz w:val="24"/>
          <w:szCs w:val="24"/>
        </w:rPr>
        <w:t xml:space="preserve">Второй бюджет — каскадный. Подставим спектр K41 в тождество (3.3) со спектральным срезом k_c = π/Δ: интеграл берётся точно, и средний квадрат разрешённой деформации равен (4.2). Если срез лежит глубоко в инерционном интервале, вся диссипация исходного течения проходит через подсеточный канал: ε_sgs = ε. Приравнивая (4.1) к ε и подставляя (4.2), сокращаем всё, кроме одной комбинации:</w:t>
      </w:r>
    </w:p>
    <w:p>
      <w:pPr>
        <w:spacing w:after="40" w:before="160"/>
        <w:jc w:val="center"/>
      </w:pPr>
      <w:r>
        <w:drawing>
          <wp:inline distT="0" distB="0" distL="0" distR="0">
            <wp:extent cx="3809048" cy="507873"/>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09048" cy="507873"/>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(4.2)</w:t>
      </w:r>
    </w:p>
    <w:p>
      <w:pPr>
        <w:spacing w:after="40" w:before="160"/>
        <w:jc w:val="center"/>
      </w:pPr>
      <w:r>
        <w:drawing>
          <wp:inline distT="0" distB="0" distL="0" distR="0">
            <wp:extent cx="3809048" cy="1168108"/>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09048" cy="1168108"/>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(4.3)</w:t>
      </w:r>
    </w:p>
    <w:p>
      <w:pPr>
        <w:spacing w:after="80" w:line="360"/>
        <w:ind w:firstLine="709"/>
        <w:jc w:val="both"/>
      </w:pPr>
      <w:r>
        <w:rPr>
          <w:rFonts w:ascii="Times New Roman" w:eastAsia="Times New Roman" w:hAnsi="Times New Roman"/>
          <w:color w:val="000000"/>
          <w:sz w:val="24"/>
          <w:szCs w:val="24"/>
        </w:rPr>
        <w:t xml:space="preserve">Это и есть мастер-соотношение программы: постоянная Смагоринского однозначно выражается через постоянную Колмогорова. Численно, при экспериментальном значении C_K = 1.50:</w:t>
      </w:r>
    </w:p>
    <w:p>
      <w:pPr>
        <w:spacing w:after="40" w:before="160"/>
        <w:jc w:val="center"/>
      </w:pPr>
      <w:r>
        <w:drawing>
          <wp:inline distT="0" distB="0" distL="0" distR="0">
            <wp:extent cx="3809048" cy="634841"/>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09048" cy="634841"/>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(4.4)</w:t>
      </w:r>
    </w:p>
    <w:p>
      <w:pPr>
        <w:spacing w:after="80" w:line="360"/>
        <w:ind w:firstLine="709"/>
        <w:jc w:val="both"/>
      </w:pPr>
      <w:r>
        <w:rPr>
          <w:rFonts w:ascii="Times New Roman" w:eastAsia="Times New Roman" w:hAnsi="Times New Roman"/>
          <w:color w:val="000000"/>
          <w:sz w:val="24"/>
          <w:szCs w:val="24"/>
        </w:rPr>
        <w:t xml:space="preserve">Совпадение с классическим значением Лилли 0.17326, полученным в 1966–1967 годах тем же кругом идей, но без привязки к современным данным о C_K, составляет 6·10⁻⁶. Мы подчёркиваем статус результата: новизна не в алгебре — она классическая — а в явной, конвенционно-зафиксированной цепочке от измеряемой C_K к C_s с заявленным бюджетом погрешностей и полным численным контролем каждого звена.</w:t>
      </w:r>
    </w:p>
    <w:p>
      <w:pPr>
        <w:pStyle w:val="Heading2"/>
        <w:spacing w:after="160" w:before="320" w:line="360"/>
      </w:pPr>
      <w:bookmarkStart w:id="100012" w:name="_Toc100012"/>
      <w:r>
        <w:rPr>
          <w:rFonts w:ascii="Times New Roman" w:eastAsia="Times New Roman" w:hAnsi="Times New Roman"/>
          <w:b/>
          <w:bCs/>
          <w:color w:val="000000"/>
          <w:sz w:val="28"/>
          <w:szCs w:val="28"/>
        </w:rPr>
        <w:t xml:space="preserve">4.3. Семейство фильтров</w:t>
      </w:r>
      <w:bookmarkEnd w:id="100012"/>
    </w:p>
    <w:p>
      <w:pPr>
        <w:spacing w:after="80" w:line="360"/>
        <w:ind w:firstLine="709"/>
        <w:jc w:val="both"/>
      </w:pPr>
      <w:r>
        <w:rPr>
          <w:rFonts w:ascii="Times New Roman" w:eastAsia="Times New Roman" w:hAnsi="Times New Roman"/>
          <w:color w:val="000000"/>
          <w:sz w:val="24"/>
          <w:szCs w:val="24"/>
        </w:rPr>
        <w:t xml:space="preserve">Мастер-соотношение зависит от формы фильтра. Для гауссова фильтра интеграл (3.3) берётся в замкнутой форме и даёт (4.5): значение чуть ниже, чем для спектрального среза, — гауссов хвост подмешивает часть деформации с k &gt; k_c. Прямоугольный фильтр требует численного квадрирования sinc² и даёт 0.15714. Все три значения ложатся в общеупотребительный диапазон 0.15–0.20 — и это снимает кажущееся противоречие между «0.17» и «0.2» в старой литературе: это разные фильтры.</w:t>
      </w:r>
    </w:p>
    <w:p>
      <w:pPr>
        <w:spacing w:after="40" w:before="160"/>
        <w:jc w:val="center"/>
      </w:pPr>
      <w:r>
        <w:drawing>
          <wp:inline distT="0" distB="0" distL="0" distR="0">
            <wp:extent cx="3809048" cy="457086"/>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09048" cy="45708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(4.5)</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871"/>
        <w:gridCol w:w="2871"/>
        <w:gridCol w:w="2871"/>
      </w:tblGrid>
      <w:tr>
        <w:trPr>
          <w:cantSplit/>
          <w:tblHeader/>
        </w:trPr>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Фильтр</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Формула</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C_s при C_K = 1.50</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Спектральный срез k_c = π/Δ</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1/(π(3C_K/2)^{3/4})</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Гауссов exp(−k²Δ²/24)</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(C_KΓ(2/3)12^{2/3})^{−3/4}</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Прямоугольный sinc(kΔ/2)</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численно, val^{−3/4}</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0.15714</w:t>
            </w:r>
          </w:p>
        </w:tc>
      </w:tr>
    </w:tbl>
    <w:p>
      <w:pPr>
        <w:spacing w:after="200" w:before="60"/>
        <w:jc w:val="center"/>
      </w:pPr>
      <w:r>
        <w:rPr>
          <w:rFonts w:ascii="Times New Roman" w:eastAsia="Times New Roman" w:hAnsi="Times New Roman"/>
          <w:i/>
          <w:iCs/>
          <w:color w:val="555555"/>
          <w:sz w:val="20"/>
          <w:szCs w:val="20"/>
        </w:rPr>
        <w:t xml:space="preserve">Таблица 4.1. Значения мастер-соотношения для трёх фильтров (P1).</w:t>
      </w:r>
    </w:p>
    <w:p>
      <w:pPr>
        <w:spacing w:after="40" w:before="160"/>
        <w:jc w:val="center"/>
      </w:pPr>
      <w:r>
        <w:drawing>
          <wp:inline distT="0" distB="0" distL="0" distR="0">
            <wp:extent cx="5586603" cy="3415446"/>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86603" cy="3415446"/>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4.1. Мастер-кривые C_s(C_K) для трёх семейств фильтров; окружность — опорная точка (C_K = 1.5, C_s = 0.1733); полоса — общеупотребительный диапазон. Протокол P1.</w:t>
      </w:r>
    </w:p>
    <w:p>
      <w:pPr>
        <w:pStyle w:val="Heading2"/>
        <w:spacing w:after="160" w:before="320" w:line="360"/>
      </w:pPr>
      <w:bookmarkStart w:id="100013" w:name="_Toc100013"/>
      <w:r>
        <w:rPr>
          <w:rFonts w:ascii="Times New Roman" w:eastAsia="Times New Roman" w:hAnsi="Times New Roman"/>
          <w:b/>
          <w:bCs/>
          <w:color w:val="000000"/>
          <w:sz w:val="28"/>
          <w:szCs w:val="28"/>
        </w:rPr>
        <w:t xml:space="preserve">4.4. Чувствительность к вязкому хвосту спектра</w:t>
      </w:r>
      <w:bookmarkEnd w:id="100013"/>
    </w:p>
    <w:p>
      <w:pPr>
        <w:spacing w:after="80" w:line="360"/>
        <w:ind w:firstLine="709"/>
        <w:jc w:val="both"/>
      </w:pPr>
      <w:r>
        <w:rPr>
          <w:rFonts w:ascii="Times New Roman" w:eastAsia="Times New Roman" w:hAnsi="Times New Roman"/>
          <w:color w:val="000000"/>
          <w:sz w:val="24"/>
          <w:szCs w:val="24"/>
        </w:rPr>
        <w:t xml:space="preserve">Вывод предполагает, что срез лежит глубоко в инерционном интервале. При конечных Δ/η часть деформации приходится на вязкий диапазон, где спектр обрывается экспонентой Пао, — интеграл (3.3) уменьшается, а выводимое из согласования C_s растёт. Протокол P1 квантифицирует эту поправку в диапазоне Δ/η от 2 до 200: при Δ/η &gt; 50 поправка меньше одного процента, при Δ/η ≈ 3 она достигает десятков процентов. Кривая C_s(Δ/η) вычислена также на синтетических полях (глава 8) — теория и Монте-Карло совпадают в пределах биннинга оболочек.</w:t>
      </w:r>
    </w:p>
    <w:p>
      <w:pPr>
        <w:pStyle w:val="Heading1"/>
        <w:spacing w:after="240" w:before="480" w:line="360"/>
      </w:pPr>
      <w:bookmarkStart w:id="100014" w:name="_Toc100014"/>
      <w:r>
        <w:rPr>
          <w:rFonts w:ascii="Times New Roman" w:eastAsia="Times New Roman" w:hAnsi="Times New Roman"/>
          <w:b/>
          <w:bCs/>
          <w:color w:val="000000"/>
          <w:sz w:val="32"/>
          <w:szCs w:val="32"/>
        </w:rPr>
        <w:t xml:space="preserve">5. Вывод II: замыкания для постоянной Колмогорова</w:t>
      </w:r>
      <w:bookmarkEnd w:id="100014"/>
    </w:p>
    <w:p>
      <w:pPr>
        <w:pStyle w:val="Heading2"/>
        <w:spacing w:after="160" w:before="320" w:line="360"/>
      </w:pPr>
      <w:bookmarkStart w:id="100015" w:name="_Toc100015"/>
      <w:r>
        <w:rPr>
          <w:rFonts w:ascii="Times New Roman" w:eastAsia="Times New Roman" w:hAnsi="Times New Roman"/>
          <w:b/>
          <w:bCs/>
          <w:color w:val="000000"/>
          <w:sz w:val="28"/>
          <w:szCs w:val="28"/>
        </w:rPr>
        <w:t xml:space="preserve">5.1. Спектральный баланс Гейзенберга</w:t>
      </w:r>
      <w:bookmarkEnd w:id="100015"/>
    </w:p>
    <w:p>
      <w:pPr>
        <w:spacing w:after="80" w:line="360"/>
        <w:ind w:firstLine="709"/>
        <w:jc w:val="both"/>
      </w:pPr>
      <w:r>
        <w:rPr>
          <w:rFonts w:ascii="Times New Roman" w:eastAsia="Times New Roman" w:hAnsi="Times New Roman"/>
          <w:color w:val="000000"/>
          <w:sz w:val="24"/>
          <w:szCs w:val="24"/>
        </w:rPr>
        <w:t xml:space="preserve">Обратная задача — вычислить C_K из первых принципов — решается только замыканиями двухточечной статистики. Старейшее из них принадлежит Гейзенбергу (1948): вихри с волновыми числами выше k действуют на крупномасштабную часть как эффективная вязкость (5.1), а стационарный поток энергии записывается балансом (5.2):</w:t>
      </w:r>
    </w:p>
    <w:p>
      <w:pPr>
        <w:spacing w:after="40" w:before="160"/>
        <w:jc w:val="center"/>
      </w:pPr>
      <w:r>
        <w:drawing>
          <wp:inline distT="0" distB="0" distL="0" distR="0">
            <wp:extent cx="3809048" cy="1003049"/>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09048" cy="1003049"/>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(5.1)</w:t>
      </w:r>
    </w:p>
    <w:p>
      <w:pPr>
        <w:spacing w:after="40" w:before="160"/>
        <w:jc w:val="center"/>
      </w:pPr>
      <w:r>
        <w:drawing>
          <wp:inline distT="0" distB="0" distL="0" distR="0">
            <wp:extent cx="3809048" cy="711022"/>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09048" cy="711022"/>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(5.2)</w:t>
      </w:r>
    </w:p>
    <w:p>
      <w:pPr>
        <w:spacing w:after="80" w:line="360"/>
        <w:ind w:firstLine="709"/>
        <w:jc w:val="both"/>
      </w:pPr>
      <w:r>
        <w:rPr>
          <w:rFonts w:ascii="Times New Roman" w:eastAsia="Times New Roman" w:hAnsi="Times New Roman"/>
          <w:color w:val="000000"/>
          <w:sz w:val="24"/>
          <w:szCs w:val="24"/>
        </w:rPr>
        <w:t xml:space="preserve">Система допускает точное решение. Дифференцируя баланс, выражая E через производные ν_T и переходя к безразмерной переменной χ = kη, получаем замкнутую форму спектра Гейзенберга (5.3) — результат, который в литературе обычно приводится в виде интегро-дифференциального уравнения, а не в явном виде:</w:t>
      </w:r>
    </w:p>
    <w:p>
      <w:pPr>
        <w:spacing w:after="40" w:before="160"/>
        <w:jc w:val="center"/>
      </w:pPr>
      <w:r>
        <w:drawing>
          <wp:inline distT="0" distB="0" distL="0" distR="0">
            <wp:extent cx="3809048" cy="355511"/>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09048" cy="355511"/>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(5.3)</w:t>
      </w:r>
    </w:p>
    <w:p>
      <w:pPr>
        <w:spacing w:after="80" w:line="360"/>
        <w:ind w:firstLine="709"/>
        <w:jc w:val="both"/>
      </w:pPr>
      <w:r>
        <w:rPr>
          <w:rFonts w:ascii="Times New Roman" w:eastAsia="Times New Roman" w:hAnsi="Times New Roman"/>
          <w:color w:val="000000"/>
          <w:sz w:val="24"/>
          <w:szCs w:val="24"/>
        </w:rPr>
        <w:t xml:space="preserve">Формула (5.3) автоматически воспроизводит оба предела: в инерционном интервале E ∝ χ^{−5/3} с константой (5.4), в дальнем вязком — классическое падение χ^{−7}. Численная проверка (протокол P2) подтверждает оба наклона: −1.67 в окне χ ∈ [0.01, 0.2] (недостижимый асимптотический −5/3 при конечном окне) и −7.00 в окне χ ∈ [3, 20].</w:t>
      </w:r>
    </w:p>
    <w:p>
      <w:pPr>
        <w:spacing w:after="40" w:before="160"/>
        <w:jc w:val="center"/>
      </w:pPr>
      <w:r>
        <w:drawing>
          <wp:inline distT="0" distB="0" distL="0" distR="0">
            <wp:extent cx="3809048" cy="482479"/>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09048" cy="482479"/>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(5.4)</w:t>
      </w:r>
    </w:p>
    <w:p>
      <w:pPr>
        <w:spacing w:after="80" w:line="360"/>
        <w:ind w:firstLine="709"/>
        <w:jc w:val="both"/>
      </w:pPr>
      <w:r>
        <w:rPr>
          <w:rFonts w:ascii="Times New Roman" w:eastAsia="Times New Roman" w:hAnsi="Times New Roman"/>
          <w:color w:val="000000"/>
          <w:sz w:val="24"/>
          <w:szCs w:val="24"/>
        </w:rPr>
        <w:t xml:space="preserve">Соотношение (5.4) — это карта замыкания: постоянная Колмогорова выражена через единственную константу переноса α. Обратная калибровка по экспериментальному C_K = 1.50 даёт α = 0.4838; повторное измерение C_K по замкнутой форме спектра в том же окне возвращает 1.4814 — замыкание самосогласовано с точностью 1.3 %. Балансовая диссипация воспроизводит ε с относительной ошибкой 2.2·10⁻⁴ — это чистая погрешность лог-квадратуры.</w:t>
      </w:r>
    </w:p>
    <w:p>
      <w:pPr>
        <w:pStyle w:val="Heading2"/>
        <w:spacing w:after="160" w:before="320" w:line="360"/>
      </w:pPr>
      <w:bookmarkStart w:id="100016" w:name="_Toc100016"/>
      <w:r>
        <w:rPr>
          <w:rFonts w:ascii="Times New Roman" w:eastAsia="Times New Roman" w:hAnsi="Times New Roman"/>
          <w:b/>
          <w:bCs/>
          <w:color w:val="000000"/>
          <w:sz w:val="28"/>
          <w:szCs w:val="28"/>
        </w:rPr>
        <w:t xml:space="preserve">5.2. Спектр Пао с точной нормировкой диссипации</w:t>
      </w:r>
      <w:bookmarkEnd w:id="100016"/>
    </w:p>
    <w:p>
      <w:pPr>
        <w:spacing w:after="80" w:line="360"/>
        <w:ind w:firstLine="709"/>
        <w:jc w:val="both"/>
      </w:pPr>
      <w:r>
        <w:rPr>
          <w:rFonts w:ascii="Times New Roman" w:eastAsia="Times New Roman" w:hAnsi="Times New Roman"/>
          <w:color w:val="000000"/>
          <w:sz w:val="24"/>
          <w:szCs w:val="24"/>
        </w:rPr>
        <w:t xml:space="preserve">Вторая, более экономная модель — спектр Пао-типа с гауссовым обрывом в вязком диапазоне. Требование точного воспроизведения диссипации 2ν∫k²E dk = ε фиксирует показатель экспоненты однозначно: β = (C_K Γ(2/3))^{3/2} ≈ 2.895 (5.5). Этот самонормализованный спектр используется во всех численных экспериментах программы как целевая форма спектра — с той же конвенцией E(k), что и во всём остальном тексте.</w:t>
      </w:r>
    </w:p>
    <w:p>
      <w:pPr>
        <w:spacing w:after="40" w:before="160"/>
        <w:jc w:val="center"/>
      </w:pPr>
      <w:r>
        <w:drawing>
          <wp:inline distT="0" distB="0" distL="0" distR="0">
            <wp:extent cx="3809048" cy="253937"/>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09048" cy="253937"/>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(5.5)</w:t>
      </w:r>
    </w:p>
    <w:p>
      <w:pPr>
        <w:pStyle w:val="Heading2"/>
        <w:spacing w:after="160" w:before="320" w:line="360"/>
      </w:pPr>
      <w:bookmarkStart w:id="100017" w:name="_Toc100017"/>
      <w:r>
        <w:rPr>
          <w:rFonts w:ascii="Times New Roman" w:eastAsia="Times New Roman" w:hAnsi="Times New Roman"/>
          <w:b/>
          <w:bCs/>
          <w:color w:val="000000"/>
          <w:sz w:val="28"/>
          <w:szCs w:val="28"/>
        </w:rPr>
        <w:t xml:space="preserve">5.3. Сопоставление замыканий</w:t>
      </w:r>
      <w:bookmarkEnd w:id="100017"/>
    </w:p>
    <w:p>
      <w:pPr>
        <w:spacing w:after="80" w:line="360"/>
        <w:ind w:firstLine="709"/>
        <w:jc w:val="both"/>
      </w:pPr>
      <w:r>
        <w:rPr>
          <w:rFonts w:ascii="Times New Roman" w:eastAsia="Times New Roman" w:hAnsi="Times New Roman"/>
          <w:color w:val="000000"/>
          <w:sz w:val="24"/>
          <w:szCs w:val="24"/>
        </w:rPr>
        <w:t xml:space="preserve">Спектры Гейзенберга и Пао согласуются в инерционном интервале по построению (обе кривые нормированы на одну C_K), но расходятся в вязком диапазоне: Гейзенберг даёт степенное χ⁻⁷, Пао — экспоненциальный обрыв. Современные DNS поддерживают экспоненциальную форму, так что замыкание Гейзенберга следует рассматривать как инерционно точное и вязко качественное. Рис. 5.1 показывает обе кривые в компенсированной форме; рис. 5.2 — карту C_K(α) с опорными точками эксперимента и замыканий Крайхнана.</w:t>
      </w:r>
    </w:p>
    <w:p>
      <w:pPr>
        <w:spacing w:after="40" w:before="160"/>
        <w:jc w:val="center"/>
      </w:pPr>
      <w:r>
        <w:drawing>
          <wp:inline distT="0" distB="0" distL="0" distR="0">
            <wp:extent cx="5586603" cy="3415446"/>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86603" cy="3415446"/>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5.1. Модельные спектры в компенсированной форме k^{5/3}E/ε^{2/3}: замыкание Гейзенберга (сплошная) и спектр Пао (штриховая); горизонтальная линия — C_K = 1.5. Протокол P2.</w:t>
      </w:r>
    </w:p>
    <w:p>
      <w:pPr>
        <w:spacing w:after="40" w:before="160"/>
        <w:jc w:val="center"/>
      </w:pPr>
      <w:r>
        <w:drawing>
          <wp:inline distT="0" distB="0" distL="0" distR="0">
            <wp:extent cx="5586603" cy="3263084"/>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86603" cy="3263084"/>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5.2. Карта замыкания Гейзенберга C_K(α); точки — калибровки по эксперименту (1.50), LhDIA (1.52) и DIA (1.77). Протокол P2.</w:t>
      </w:r>
    </w:p>
    <w:p>
      <w:pPr>
        <w:pStyle w:val="Heading1"/>
        <w:spacing w:after="240" w:before="480" w:line="360"/>
      </w:pPr>
      <w:bookmarkStart w:id="100018" w:name="_Toc100018"/>
      <w:r>
        <w:rPr>
          <w:rFonts w:ascii="Times New Roman" w:eastAsia="Times New Roman" w:hAnsi="Times New Roman"/>
          <w:b/>
          <w:bCs/>
          <w:color w:val="000000"/>
          <w:sz w:val="32"/>
          <w:szCs w:val="32"/>
        </w:rPr>
        <w:t xml:space="preserve">6. Динамическая процедура Германо</w:t>
      </w:r>
      <w:bookmarkEnd w:id="100018"/>
    </w:p>
    <w:p>
      <w:pPr>
        <w:spacing w:after="80" w:line="360"/>
        <w:ind w:firstLine="709"/>
        <w:jc w:val="both"/>
      </w:pPr>
      <w:r>
        <w:rPr>
          <w:rFonts w:ascii="Times New Roman" w:eastAsia="Times New Roman" w:hAnsi="Times New Roman"/>
          <w:color w:val="000000"/>
          <w:sz w:val="24"/>
          <w:szCs w:val="24"/>
        </w:rPr>
        <w:t xml:space="preserve">Статическое значение C_s = 0.173 — глобально усреднённая величина. Процедура Германо–Лилли (1991–1992) делает её полем: тождество Германо на двух уровнях фильтрации решается методом наименьших квадратов локально в каждой точке, давая (6.1). В приложениях усреднение ⟨·⟩ берётся по однородным направлениям или по скользящему окну, чтобы избежать сингулярностей.</w:t>
      </w:r>
    </w:p>
    <w:p>
      <w:pPr>
        <w:spacing w:after="40" w:before="160"/>
        <w:jc w:val="center"/>
      </w:pPr>
      <w:r>
        <w:drawing>
          <wp:inline distT="0" distB="0" distL="0" distR="0">
            <wp:extent cx="3809048" cy="41899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09048" cy="418995"/>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(6.1)</w:t>
      </w:r>
    </w:p>
    <w:p>
      <w:pPr>
        <w:spacing w:after="80" w:line="360"/>
        <w:ind w:firstLine="709"/>
        <w:jc w:val="both"/>
      </w:pPr>
      <w:r>
        <w:rPr>
          <w:rFonts w:ascii="Times New Roman" w:eastAsia="Times New Roman" w:hAnsi="Times New Roman"/>
          <w:color w:val="000000"/>
          <w:sz w:val="24"/>
          <w:szCs w:val="24"/>
        </w:rPr>
        <w:t xml:space="preserve">В пределе, когда обе фильтрации лежат в инерционном интервале и течение изотропно, динамическое значение стягивается к статическому мастер-соотношению главы 4 — это не совпадение, а проверка согласованности: динамическая процедура наследует ту же каскадную физику. При уходе от изотропии (пристеночные слои, стратификация, переход) локальное C_s закономерно отклоняется, вплоть до смены знака — детекции обратного рассеяния. Именно это поведение воспроизведено в эксперименте P4 (глава 9): сырое значение cs² = ⟨LM⟩/⟨MM⟩ в части поля отрицательно, и это не артефакт, а диагноз пере-диссипативности фиксированного замыкания вне его области применимости.</w:t>
      </w:r>
    </w:p>
    <w:p>
      <w:pPr>
        <w:pStyle w:val="Heading1"/>
        <w:spacing w:after="240" w:before="480" w:line="360"/>
      </w:pPr>
      <w:bookmarkStart w:id="100019" w:name="_Toc100019"/>
      <w:r>
        <w:rPr>
          <w:rFonts w:ascii="Times New Roman" w:eastAsia="Times New Roman" w:hAnsi="Times New Roman"/>
          <w:b/>
          <w:bCs/>
          <w:color w:val="000000"/>
          <w:sz w:val="32"/>
          <w:szCs w:val="32"/>
        </w:rPr>
        <w:t xml:space="preserve">7. Перемежаемость и пределы гауссова приближения</w:t>
      </w:r>
      <w:bookmarkEnd w:id="100019"/>
    </w:p>
    <w:p>
      <w:pPr>
        <w:pStyle w:val="Heading2"/>
        <w:spacing w:after="160" w:before="320" w:line="360"/>
      </w:pPr>
      <w:bookmarkStart w:id="100020" w:name="_Toc100020"/>
      <w:r>
        <w:rPr>
          <w:rFonts w:ascii="Times New Roman" w:eastAsia="Times New Roman" w:hAnsi="Times New Roman"/>
          <w:b/>
          <w:bCs/>
          <w:color w:val="000000"/>
          <w:sz w:val="28"/>
          <w:szCs w:val="28"/>
        </w:rPr>
        <w:t xml:space="preserve">7.1. Нулевая корреляция Германо на гауссовых полях</w:t>
      </w:r>
      <w:bookmarkEnd w:id="100020"/>
    </w:p>
    <w:p>
      <w:pPr>
        <w:spacing w:after="80" w:line="360"/>
        <w:ind w:firstLine="709"/>
        <w:jc w:val="both"/>
      </w:pPr>
      <w:r>
        <w:rPr>
          <w:rFonts w:ascii="Times New Roman" w:eastAsia="Times New Roman" w:hAnsi="Times New Roman"/>
          <w:color w:val="000000"/>
          <w:sz w:val="24"/>
          <w:szCs w:val="24"/>
        </w:rPr>
        <w:t xml:space="preserve">Наиболее поучительный отрицательный результат программы получен на пути, который кажется самым коротким: почему бы не измерить C_s прямо на синтетическом поле с точным спектром K41? Ответ фундаментален. Немецкое тождество ⟨L_ij S̄_ij⟩ есть момент третьего порядка по полю; у гауссова поля все третьи моменты равны нулю. Следовательно, на случайном поле с точным спектром a priori постоянная Смагоринского равна нулю с точностью до шума выборки — что программа и измеряет: ⟨L_ij S̄_ij⟩ = ±0.003 при ожидаемом масштабе O(1).</w:t>
      </w:r>
    </w:p>
    <w:p>
      <w:pPr>
        <w:spacing w:after="40" w:before="160"/>
        <w:jc w:val="center"/>
      </w:pPr>
      <w:r>
        <w:drawing>
          <wp:inline distT="0" distB="0" distL="0" distR="0">
            <wp:extent cx="3809048" cy="457086"/>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809048" cy="45708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(7.1)</w:t>
      </w:r>
    </w:p>
    <w:p>
      <w:pPr>
        <w:spacing w:after="80" w:line="360"/>
        <w:ind w:firstLine="709"/>
        <w:jc w:val="both"/>
      </w:pPr>
      <w:r>
        <w:rPr>
          <w:rFonts w:ascii="Times New Roman" w:eastAsia="Times New Roman" w:hAnsi="Times New Roman"/>
          <w:color w:val="000000"/>
          <w:sz w:val="24"/>
          <w:szCs w:val="24"/>
        </w:rPr>
        <w:t xml:space="preserve">Смысл: спектр сам по себе не создаёт каскадной фазовой когерентности. Постоянная Смагоринского живёт не в амплитудах, а в фазах — в нелинейно наведённой корреляции между масштабами. Любой вывод, полученный только из спектра (включая мастер-соотношение), использует физическую гипотезу постоянства потока — и именно её проверка требует реальной динамики. Это мотивирует эксперименты глав 8–9 в их фактическом разделении труда: спектральные входы проверяются на синтетике, поток — на DNS.</w:t>
      </w:r>
    </w:p>
    <w:p>
      <w:pPr>
        <w:pStyle w:val="Heading2"/>
        <w:spacing w:after="160" w:before="320" w:line="360"/>
      </w:pPr>
      <w:bookmarkStart w:id="100021" w:name="_Toc100021"/>
      <w:r>
        <w:rPr>
          <w:rFonts w:ascii="Times New Roman" w:eastAsia="Times New Roman" w:hAnsi="Times New Roman"/>
          <w:b/>
          <w:bCs/>
          <w:color w:val="000000"/>
          <w:sz w:val="28"/>
          <w:szCs w:val="28"/>
        </w:rPr>
        <w:t xml:space="preserve">7.2. Перемежаемость и разброс в литературе</w:t>
      </w:r>
      <w:bookmarkEnd w:id="100021"/>
    </w:p>
    <w:p>
      <w:pPr>
        <w:spacing w:after="80" w:line="360"/>
        <w:ind w:firstLine="709"/>
        <w:jc w:val="both"/>
      </w:pPr>
      <w:r>
        <w:rPr>
          <w:rFonts w:ascii="Times New Roman" w:eastAsia="Times New Roman" w:hAnsi="Times New Roman"/>
          <w:color w:val="000000"/>
          <w:sz w:val="24"/>
          <w:szCs w:val="24"/>
        </w:rPr>
        <w:t xml:space="preserve">На реальных течениях мелкомасштабная статистика перемежается: распределения градиентов тяжелеют, поток диссипации концентрируется в тонких слоях. Динамическая процедура реагирует на это пространственным понижением локального C_s относительно гауссова значения — эффект, устойчиво наблюдаемый со времён работ Пьомелли, Менево и Порта-Агеля. Разброс a priori значений в литературе (0.04–0.2 в зависимости от Re_λ, фильтра и течения) накладывается на конвенционный веер главы 4; оба источника разброса разделены в этой работе: конвенции зафиксированы, физика перемежаемости измерена отдельно (глава 9).</w:t>
      </w:r>
    </w:p>
    <w:p>
      <w:pPr>
        <w:spacing w:after="80" w:line="360"/>
        <w:ind w:firstLine="709"/>
        <w:jc w:val="both"/>
      </w:pPr>
      <w:r>
        <w:rPr>
          <w:rFonts w:ascii="Times New Roman" w:eastAsia="Times New Roman" w:hAnsi="Times New Roman"/>
          <w:color w:val="000000"/>
          <w:sz w:val="24"/>
          <w:szCs w:val="24"/>
        </w:rPr>
        <w:t xml:space="preserve">Отметим также связь с уточненным подобием Колмогорова 1962 года: перемежаемость диссипации модулирует амплитуду спектра лог-нормально, и эффективное (измеряемое в конечном интервале) значение C_K растёт с Re_λ. При достижимых в DNS числах Релея этот рост даёт несколько процентов — заметный, но не доминирующий вклад в общий бюджет погрешностей C_s.</w:t>
      </w:r>
    </w:p>
    <w:p>
      <w:pPr>
        <w:pStyle w:val="Heading1"/>
        <w:spacing w:after="240" w:before="480" w:line="360"/>
      </w:pPr>
      <w:bookmarkStart w:id="100022" w:name="_Toc100022"/>
      <w:r>
        <w:rPr>
          <w:rFonts w:ascii="Times New Roman" w:eastAsia="Times New Roman" w:hAnsi="Times New Roman"/>
          <w:b/>
          <w:bCs/>
          <w:color w:val="000000"/>
          <w:sz w:val="32"/>
          <w:szCs w:val="32"/>
        </w:rPr>
        <w:t xml:space="preserve">8. Эксперимент I: верификация на синтетических полях (P3)</w:t>
      </w:r>
      <w:bookmarkEnd w:id="100022"/>
    </w:p>
    <w:p>
      <w:pPr>
        <w:pStyle w:val="Heading2"/>
        <w:spacing w:after="160" w:before="320" w:line="360"/>
      </w:pPr>
      <w:bookmarkStart w:id="100023" w:name="_Toc100023"/>
      <w:r>
        <w:rPr>
          <w:rFonts w:ascii="Times New Roman" w:eastAsia="Times New Roman" w:hAnsi="Times New Roman"/>
          <w:b/>
          <w:bCs/>
          <w:color w:val="000000"/>
          <w:sz w:val="28"/>
          <w:szCs w:val="28"/>
        </w:rPr>
        <w:t xml:space="preserve">8.1. Постановка</w:t>
      </w:r>
      <w:bookmarkEnd w:id="100023"/>
    </w:p>
    <w:p>
      <w:pPr>
        <w:spacing w:after="80" w:line="360"/>
        <w:ind w:firstLine="709"/>
        <w:jc w:val="both"/>
      </w:pPr>
      <w:r>
        <w:rPr>
          <w:rFonts w:ascii="Times New Roman" w:eastAsia="Times New Roman" w:hAnsi="Times New Roman"/>
          <w:color w:val="000000"/>
          <w:sz w:val="24"/>
          <w:szCs w:val="24"/>
        </w:rPr>
        <w:t xml:space="preserve">Протокол P3 строит ансамбль дивергентно-свободных случайных полей на периодической решётке 96³, оболочечные энергии которых точно равны целевому спектру K41-Пао. Ключевая техническая проблема — нормировка Фурье-амплитуд — решена эмпирически: вес Парсеваля определяется по самому полю (отношение измеренной ⟨u²⟩ к сумме оболочечных |û|²), после чего детерминированная покорпусная калибровка доводит каждую оболочку до цели за несколько итераций. Такая схема нечувствительна к конвенциям rfftn и воспроизводима бит-в-бит (seed 20260929). Вязкость выбрана так, чтобы вязкий диапазон помещался на решётку: k_η = 24 = k_max/2.</w:t>
      </w:r>
    </w:p>
    <w:p>
      <w:pPr>
        <w:pStyle w:val="Heading2"/>
        <w:spacing w:after="160" w:before="320" w:line="360"/>
      </w:pPr>
      <w:bookmarkStart w:id="100024" w:name="_Toc100024"/>
      <w:r>
        <w:rPr>
          <w:rFonts w:ascii="Times New Roman" w:eastAsia="Times New Roman" w:hAnsi="Times New Roman"/>
          <w:b/>
          <w:bCs/>
          <w:color w:val="000000"/>
          <w:sz w:val="28"/>
          <w:szCs w:val="28"/>
        </w:rPr>
        <w:t xml:space="preserve">8.2. Проверка спектральных входов</w:t>
      </w:r>
      <w:bookmarkEnd w:id="100024"/>
    </w:p>
    <w:p>
      <w:pPr>
        <w:spacing w:after="80" w:line="360"/>
        <w:ind w:firstLine="709"/>
        <w:jc w:val="both"/>
      </w:pPr>
      <w:r>
        <w:rPr>
          <w:rFonts w:ascii="Times New Roman" w:eastAsia="Times New Roman" w:hAnsi="Times New Roman"/>
          <w:color w:val="000000"/>
          <w:sz w:val="24"/>
          <w:szCs w:val="24"/>
        </w:rPr>
        <w:t xml:space="preserve">На полученных полях напрямую проверяется тождество разрешённой деформации (3.3): измеренное ⟨|S̄|²⟩ сравнивается с квадратурой по фактически измеренной оболочечной энергии с весом G². Согласие составляет 3–20 % в зависимости от ширины фильтра — расхождение объясняется исключительно биннингом оболочек на дискретной решётке, что видно по систематическому характеру ошибки. Для теории, использующей континуальные интегралы, это приемлемая точность дискретного двойника.</w:t>
      </w:r>
    </w:p>
    <w:p>
      <w:pPr>
        <w:pStyle w:val="Heading2"/>
        <w:spacing w:after="160" w:before="320" w:line="360"/>
      </w:pPr>
      <w:bookmarkStart w:id="100025" w:name="_Toc100025"/>
      <w:r>
        <w:rPr>
          <w:rFonts w:ascii="Times New Roman" w:eastAsia="Times New Roman" w:hAnsi="Times New Roman"/>
          <w:b/>
          <w:bCs/>
          <w:color w:val="000000"/>
          <w:sz w:val="28"/>
          <w:szCs w:val="28"/>
        </w:rPr>
        <w:t xml:space="preserve">8.3. Сходимость C_s(Δ/η) и нулевая корреляция</w:t>
      </w:r>
      <w:bookmarkEnd w:id="100025"/>
    </w:p>
    <w:p>
      <w:pPr>
        <w:spacing w:after="80" w:line="360"/>
        <w:ind w:firstLine="709"/>
        <w:jc w:val="both"/>
      </w:pPr>
      <w:r>
        <w:rPr>
          <w:rFonts w:ascii="Times New Roman" w:eastAsia="Times New Roman" w:hAnsi="Times New Roman"/>
          <w:color w:val="000000"/>
          <w:sz w:val="24"/>
          <w:szCs w:val="24"/>
        </w:rPr>
        <w:t xml:space="preserve">Выводимое из согласования значение C_s = √ε/(Δ⟨|S̄|²⟩^{3/4}) измерено на полях для обоих фильтров и всех ширин. Ключевой график программы — рис. 8.1: при Δ/η = 25 (срез глубоко в инерционном интервале) измеренные 0.16994 (срез) и 0.17685 (гаусс) совпадают с аналитикой 0.17327/0.16967 в пределах 2–4 %; при малых Δ/η кривая растёт в точном соответствии с паевской поправкой из главы 4.4 — теория и Монте-Карло сходятся независимо. Параллельно измерена корреляция Германо ⟨L_ij S̄_ij⟩: ±0.003, т.е. нуль — прямая иллюстрация теоремы главы 7.1.</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153"/>
        <w:gridCol w:w="2153"/>
        <w:gridCol w:w="2153"/>
        <w:gridCol w:w="2153"/>
      </w:tblGrid>
      <w:tr>
        <w:trPr>
          <w:cantSplit/>
          <w:tblHeader/>
        </w:trPr>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Фильтр</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Δ/η</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измерено (P3)</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аналитика</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срез</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50</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0.17758 ± 0.011</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срез</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25</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0.16994 ± 0.010</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гаусс</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25</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0.17685 ± 0.005</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гаусс</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12.6</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0.18312 ± 0.005</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гаусс</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3.1</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0.34651 ± 0.007</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режим хвоста Пао</w:t>
            </w:r>
          </w:p>
        </w:tc>
      </w:tr>
    </w:tbl>
    <w:p>
      <w:pPr>
        <w:spacing w:after="200" w:before="60"/>
        <w:jc w:val="center"/>
      </w:pPr>
      <w:r>
        <w:rPr>
          <w:rFonts w:ascii="Times New Roman" w:eastAsia="Times New Roman" w:hAnsi="Times New Roman"/>
          <w:i/>
          <w:iCs/>
          <w:color w:val="555555"/>
          <w:sz w:val="20"/>
          <w:szCs w:val="20"/>
        </w:rPr>
        <w:t xml:space="preserve">Таблица 8.1. Измеренные на синтетических полях значения C_s (ансамбль из 4 реализаций 96³).</w:t>
      </w:r>
    </w:p>
    <w:p>
      <w:pPr>
        <w:spacing w:after="40" w:before="160"/>
        <w:jc w:val="center"/>
      </w:pPr>
      <w:r>
        <w:drawing>
          <wp:inline distT="0" distB="0" distL="0" distR="0">
            <wp:extent cx="5586603" cy="3415446"/>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86603" cy="3415446"/>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8.1. Сходимость C_s(Δ/η): точки — Монте-Карло на 96³-полях (P3); штриховые кривые — аналитика (квадратуры трека C++); пунктир — значение Лилли.</w:t>
      </w:r>
    </w:p>
    <w:p>
      <w:pPr>
        <w:spacing w:after="80" w:line="360"/>
        <w:ind w:firstLine="709"/>
        <w:jc w:val="both"/>
      </w:pPr>
      <w:r>
        <w:rPr>
          <w:rFonts w:ascii="Times New Roman" w:eastAsia="Times New Roman" w:hAnsi="Times New Roman"/>
          <w:color w:val="000000"/>
          <w:sz w:val="24"/>
          <w:szCs w:val="24"/>
        </w:rPr>
        <w:t xml:space="preserve">Отдельно зафиксируем статус отрицательного результата: нулевая корреляция Германо на гауссовых полях — не неудача, а измерение. Оно отделяет спектральные входы вывода (тождество деформации — подтверждено) от его динамической гипотезы (постоянство потока — требует реальной эволюции), и именно поэтому следующим протоколом идёт DNS.</w:t>
      </w:r>
    </w:p>
    <w:p>
      <w:pPr>
        <w:pStyle w:val="Heading1"/>
        <w:spacing w:after="240" w:before="480" w:line="360"/>
      </w:pPr>
      <w:bookmarkStart w:id="100026" w:name="_Toc100026"/>
      <w:r>
        <w:rPr>
          <w:rFonts w:ascii="Times New Roman" w:eastAsia="Times New Roman" w:hAnsi="Times New Roman"/>
          <w:b/>
          <w:bCs/>
          <w:color w:val="000000"/>
          <w:sz w:val="32"/>
          <w:szCs w:val="32"/>
        </w:rPr>
        <w:t xml:space="preserve">9. Эксперимент II: DNS и a priori тесты (P4)</w:t>
      </w:r>
      <w:bookmarkEnd w:id="100026"/>
    </w:p>
    <w:p>
      <w:pPr>
        <w:pStyle w:val="Heading2"/>
        <w:spacing w:after="160" w:before="320" w:line="360"/>
      </w:pPr>
      <w:bookmarkStart w:id="100027" w:name="_Toc100027"/>
      <w:r>
        <w:rPr>
          <w:rFonts w:ascii="Times New Roman" w:eastAsia="Times New Roman" w:hAnsi="Times New Roman"/>
          <w:b/>
          <w:bCs/>
          <w:color w:val="000000"/>
          <w:sz w:val="28"/>
          <w:szCs w:val="28"/>
        </w:rPr>
        <w:t xml:space="preserve">9.1. Постановка численного эксперимента</w:t>
      </w:r>
      <w:bookmarkEnd w:id="100027"/>
    </w:p>
    <w:p>
      <w:pPr>
        <w:spacing w:after="80" w:line="360"/>
        <w:ind w:firstLine="709"/>
        <w:jc w:val="both"/>
      </w:pPr>
      <w:r>
        <w:rPr>
          <w:rFonts w:ascii="Times New Roman" w:eastAsia="Times New Roman" w:hAnsi="Times New Roman"/>
          <w:color w:val="000000"/>
          <w:sz w:val="24"/>
          <w:szCs w:val="24"/>
        </w:rPr>
        <w:t xml:space="preserve">Протокол P4 интегрирует 3D псевдоспектральные уравнения Навье–Стокса на решётке 48³ с урезанием по правилу 2/3, схемой Хьюна и белым-по-времени соленоидальным форсингом в сферах |k| ≤ 2.5 с физически нормированной мощностью впрыска. Стационарный режим: ε = 0.026, u′ = 0.60, Re_λ ≈ 145 (номинально; оговорки ниже). Начальное условие — случайное дивергентно-свободное поле, ренормированное к единичной энергии; seed фиксирован (424242).</w:t>
      </w:r>
    </w:p>
    <w:p>
      <w:pPr>
        <w:pStyle w:val="Heading2"/>
        <w:spacing w:after="160" w:before="320" w:line="360"/>
      </w:pPr>
      <w:bookmarkStart w:id="100028" w:name="_Toc100028"/>
      <w:r>
        <w:rPr>
          <w:rFonts w:ascii="Times New Roman" w:eastAsia="Times New Roman" w:hAnsi="Times New Roman"/>
          <w:b/>
          <w:bCs/>
          <w:color w:val="000000"/>
          <w:sz w:val="28"/>
          <w:szCs w:val="28"/>
        </w:rPr>
        <w:t xml:space="preserve">9.2. A priori тест на реальной турбулентности</w:t>
      </w:r>
      <w:bookmarkEnd w:id="100028"/>
    </w:p>
    <w:p>
      <w:pPr>
        <w:spacing w:after="80" w:line="360"/>
        <w:ind w:firstLine="709"/>
        <w:jc w:val="both"/>
      </w:pPr>
      <w:r>
        <w:rPr>
          <w:rFonts w:ascii="Times New Roman" w:eastAsia="Times New Roman" w:hAnsi="Times New Roman"/>
          <w:color w:val="000000"/>
          <w:sz w:val="24"/>
          <w:szCs w:val="24"/>
        </w:rPr>
        <w:t xml:space="preserve">На 24 мгновенных полях стационарного режима выполнен a priori тест: C_s² = −⟨L_ij S̄_ij⟩/(Δ²⟨|S̄|³⟩) для гауссовых фильтров Δ = 2, 3, 4, 6Δx. В отличие от синтетических полей, корреляция Германо здесь заведомо ненулевая — каскад строит фазовую когерентность. Измеренные значения 0.016–0.062 лежат ниже мастер-значения 0.173; главная причина — ограничение разрешения: при k_max/k_η ≈ 0.6 деформация на фильтрационных масштабах недосчитана, и измеренное C_s является нижней границей. Вывод согласуется с классическим разбросом a priori измерений в литературе (0.04–0.2 в зависимости от Re_λ, фильтра и течения) и честно зафиксирован в протоколе как систематическое ограничение масштаба решётки, а не как опровержение мастер-соотношения.</w:t>
      </w:r>
    </w:p>
    <w:p>
      <w:pPr>
        <w:spacing w:after="80" w:line="360"/>
        <w:ind w:firstLine="709"/>
        <w:jc w:val="both"/>
      </w:pPr>
      <w:r>
        <w:rPr>
          <w:rFonts w:ascii="Times New Roman" w:eastAsia="Times New Roman" w:hAnsi="Times New Roman"/>
          <w:color w:val="000000"/>
          <w:sz w:val="24"/>
          <w:szCs w:val="24"/>
        </w:rPr>
        <w:t xml:space="preserve">Динамическая процедура (глава 6) на тех же полях возвращает сырое значение cs² = ⟨LM⟩/⟨MM⟩, которое в заметной части поля отрицательно (типичные значения −10⁻⁴…−10⁻³): фиксированное замыкание пере-диссипативно вне инерционного интервала, и динамическая процедура это диагностирует — известный, но поучительный результат, подтверждающий, что измерительная цепочка P4 чувствительна к знаку потока, а не только к его величине.</w:t>
      </w:r>
    </w:p>
    <w:p>
      <w:pPr>
        <w:spacing w:after="40" w:before="160"/>
        <w:jc w:val="center"/>
      </w:pPr>
      <w:r>
        <w:drawing>
          <wp:inline distT="0" distB="0" distL="0" distR="0">
            <wp:extent cx="5586603" cy="2450487"/>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86603" cy="2450487"/>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9.1. DNS-эксперимент (P4): слева — срез модуля завихренности; справа — усреднённый спектр E(k) с полосой подгонки −5/3. Оговорки по разрешению — в тексте.</w:t>
      </w:r>
    </w:p>
    <w:p>
      <w:pPr>
        <w:spacing w:after="40" w:before="160"/>
        <w:jc w:val="center"/>
      </w:pPr>
      <w:r>
        <w:drawing>
          <wp:inline distT="0" distB="0" distL="0" distR="0">
            <wp:extent cx="5586603" cy="3415446"/>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86603" cy="3415446"/>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9.2. A priori C_s на реальных полях (P4): точки — среднее по 24 снапшотам ± СКО для гауссовых фильтров; полоса — динамическая процедура; пунктир — значение Лилли 0.173.</w:t>
      </w:r>
    </w:p>
    <w:p>
      <w:pPr>
        <w:pStyle w:val="Heading2"/>
        <w:spacing w:after="160" w:before="320" w:line="360"/>
      </w:pPr>
      <w:bookmarkStart w:id="100029" w:name="_Toc100029"/>
      <w:r>
        <w:rPr>
          <w:rFonts w:ascii="Times New Roman" w:eastAsia="Times New Roman" w:hAnsi="Times New Roman"/>
          <w:b/>
          <w:bCs/>
          <w:color w:val="000000"/>
          <w:sz w:val="28"/>
          <w:szCs w:val="28"/>
        </w:rPr>
        <w:t xml:space="preserve">9.3. Честный бюджет погрешностей</w:t>
      </w:r>
      <w:bookmarkEnd w:id="100029"/>
    </w:p>
    <w:p>
      <w:pPr>
        <w:spacing w:after="80" w:line="360"/>
        <w:ind w:firstLine="709"/>
        <w:jc w:val="both"/>
      </w:pPr>
      <w:r>
        <w:rPr>
          <w:rFonts w:ascii="Times New Roman" w:eastAsia="Times New Roman" w:hAnsi="Times New Roman"/>
          <w:color w:val="000000"/>
          <w:sz w:val="24"/>
          <w:szCs w:val="24"/>
        </w:rPr>
        <w:t xml:space="preserve">Сводный бюджет C_s складывается из: (i) неопределённости C_K ± 0.05 → ±3 % в C_s; (ii) формы фильтра (0.157–0.173) → ±5 %; (iii) конечного Δ/η → от +1 % при Δ/η &gt; 50 до десятков процентов при Δ/η ~ 3; (iv) перемежаемости реальных течений → −20…−40 % от гауссова значения в a priori измерениях; (v) разрешения DNS (P4) — систематика нижней границы. Итоговая рекомендация программы: C_s = 0.17 ± 0.02 с явной привязкой к фильтру и Δ/η — значение, которое и используется в практике LES.</w:t>
      </w:r>
    </w:p>
    <w:p>
      <w:pPr>
        <w:pStyle w:val="Heading1"/>
        <w:spacing w:after="240" w:before="480" w:line="360"/>
      </w:pPr>
      <w:bookmarkStart w:id="100030" w:name="_Toc100030"/>
      <w:r>
        <w:rPr>
          <w:rFonts w:ascii="Times New Roman" w:eastAsia="Times New Roman" w:hAnsi="Times New Roman"/>
          <w:b/>
          <w:bCs/>
          <w:color w:val="000000"/>
          <w:sz w:val="32"/>
          <w:szCs w:val="32"/>
        </w:rPr>
        <w:t xml:space="preserve">10. Сводные результаты и сопоставление с литературой</w:t>
      </w:r>
      <w:bookmarkEnd w:id="100030"/>
    </w:p>
    <w:p>
      <w:pPr>
        <w:spacing w:after="80" w:line="360"/>
        <w:ind w:firstLine="709"/>
        <w:jc w:val="both"/>
      </w:pPr>
      <w:r>
        <w:rPr>
          <w:rFonts w:ascii="Times New Roman" w:eastAsia="Times New Roman" w:hAnsi="Times New Roman"/>
          <w:color w:val="000000"/>
          <w:sz w:val="24"/>
          <w:szCs w:val="24"/>
        </w:rPr>
        <w:t xml:space="preserve">Таблица 10.1 собирает все результаты программы рядом с классическими определениями. Три языка реализации дают идентичные числа (таблица 10.2); рисунок 10.1 визуализирует положение программных значений среди литературных.</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871"/>
        <w:gridCol w:w="2871"/>
        <w:gridCol w:w="2871"/>
      </w:tblGrid>
      <w:tr>
        <w:trPr>
          <w:cantSplit/>
          <w:tblHeader/>
        </w:trPr>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Величина</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Источник</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Значение</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(мастер-соотношение, срез)</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P1 (аналитика)</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 (Лилли, классика)</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Lilly 1966/67</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0.17326</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(гауссов фильтр)</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P1 (аналитика)</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 (box-фильтр)</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P1 (квадратура)</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0.15714</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C_K (замыкание Гейзенберга)</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P2 (α = 0.4838)</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1.4814</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C_K (синтетические поля)</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P3 (спектральный fit)</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1.50 (вход)</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(a priori, DNS 48³)</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P4</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0.016–0.062</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C_s² динамическая (сырая)</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P4</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 0 (бэкскэттер)</w:t>
            </w:r>
          </w:p>
        </w:tc>
      </w:tr>
    </w:tbl>
    <w:p>
      <w:pPr>
        <w:spacing w:after="200" w:before="60"/>
        <w:jc w:val="center"/>
      </w:pPr>
      <w:r>
        <w:rPr>
          <w:rFonts w:ascii="Times New Roman" w:eastAsia="Times New Roman" w:hAnsi="Times New Roman"/>
          <w:i/>
          <w:iCs/>
          <w:color w:val="555555"/>
          <w:sz w:val="20"/>
          <w:szCs w:val="20"/>
        </w:rPr>
        <w:t xml:space="preserve">Таблица 10.1. Сводка результатов программы.</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153"/>
        <w:gridCol w:w="2153"/>
        <w:gridCol w:w="2153"/>
        <w:gridCol w:w="2153"/>
      </w:tblGrid>
      <w:tr>
        <w:trPr>
          <w:cantSplit/>
          <w:tblHeader/>
        </w:trPr>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Величина</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Python</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 (long double)</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Julia</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(срез)</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0.173266</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 (гаусс)</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0.169667</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(box)</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0.15714</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0.157140</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0.15714</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C_K (Гейзенберг)</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1.4814</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1.4814</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1.4814</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Дальний наклон спектра</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−7.00</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−7.00</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−7.0</w:t>
            </w:r>
          </w:p>
        </w:tc>
      </w:tr>
    </w:tbl>
    <w:p>
      <w:pPr>
        <w:spacing w:after="200" w:before="60"/>
        <w:jc w:val="center"/>
      </w:pPr>
      <w:r>
        <w:rPr>
          <w:rFonts w:ascii="Times New Roman" w:eastAsia="Times New Roman" w:hAnsi="Times New Roman"/>
          <w:i/>
          <w:iCs/>
          <w:color w:val="555555"/>
          <w:sz w:val="20"/>
          <w:szCs w:val="20"/>
        </w:rPr>
        <w:t xml:space="preserve">Таблица 10.2. Трёхъязычное согласование аналитического ядра.</w:t>
      </w:r>
    </w:p>
    <w:p>
      <w:pPr>
        <w:spacing w:after="40" w:before="160"/>
        <w:jc w:val="center"/>
      </w:pPr>
      <w:r>
        <w:drawing>
          <wp:inline distT="0" distB="0" distL="0" distR="0">
            <wp:extent cx="5586603" cy="337735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86603" cy="3377355"/>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10.1. Постоянная Колмогорова: эксперимент, замыкания и настоящая работа (тёмный столбец — замыкание Гейзенберга из P2).</w:t>
      </w:r>
    </w:p>
    <w:p>
      <w:pPr>
        <w:pStyle w:val="Heading1"/>
        <w:spacing w:after="240" w:before="480" w:line="360"/>
      </w:pPr>
      <w:bookmarkStart w:id="100031" w:name="_Toc100031"/>
      <w:r>
        <w:rPr>
          <w:rFonts w:ascii="Times New Roman" w:eastAsia="Times New Roman" w:hAnsi="Times New Roman"/>
          <w:b/>
          <w:bCs/>
          <w:color w:val="000000"/>
          <w:sz w:val="32"/>
          <w:szCs w:val="32"/>
        </w:rPr>
        <w:t xml:space="preserve">11. Программа в контексте b-коррекции</w:t>
      </w:r>
      <w:bookmarkEnd w:id="100031"/>
    </w:p>
    <w:p>
      <w:pPr>
        <w:spacing w:after="80" w:line="360"/>
        <w:ind w:firstLine="709"/>
        <w:jc w:val="both"/>
      </w:pPr>
      <w:r>
        <w:rPr>
          <w:rFonts w:ascii="Times New Roman" w:eastAsia="Times New Roman" w:hAnsi="Times New Roman"/>
          <w:color w:val="000000"/>
          <w:sz w:val="24"/>
          <w:szCs w:val="24"/>
        </w:rPr>
        <w:t xml:space="preserve">Родительская программа navier-stokes-b построена вокруг универсальной поляризационной поправки</w:t>
      </w:r>
    </w:p>
    <w:p>
      <w:pPr>
        <w:spacing w:after="40" w:before="160"/>
        <w:jc w:val="center"/>
      </w:pPr>
      <w:r>
        <w:drawing>
          <wp:inline distT="0" distB="0" distL="0" distR="0">
            <wp:extent cx="3809048" cy="584054"/>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809048" cy="584054"/>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(11.1)</w:t>
      </w:r>
    </w:p>
    <w:p>
      <w:pPr>
        <w:spacing w:after="80" w:line="360"/>
        <w:ind w:firstLine="709"/>
        <w:jc w:val="both"/>
      </w:pPr>
      <w:r>
        <w:rPr>
          <w:rFonts w:ascii="Times New Roman" w:eastAsia="Times New Roman" w:hAnsi="Times New Roman"/>
          <w:color w:val="000000"/>
          <w:sz w:val="24"/>
          <w:szCs w:val="24"/>
        </w:rPr>
        <w:t xml:space="preserve">— энергетически нейтрального геометрического поворота поля скорости, подавляющего механизм взрыва 3D уравнений Навье–Стокса без изменения уравнений и без инжекции энергии. Настоящая монография исследует комплементарный полюс той же проблемы: классическое диссипативное замыкание, которое удаляет подсеточную энергию с управляемой скоростью ε_sgs = (C_sΔ)²|S̄|³. Оба механизма целятся в один и тот же нелинейный перенос, но их константы получены принципиально разными путями: b — из геометрии поляризации вихрей, C_s — из статистики инерционного интервала. Примечательно, что обе величины замкнуты: обе выражаются формулами без подгоночных параметров, что для уравнений Навье–Стокса является редкостью (таблица 11.1).</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871"/>
        <w:gridCol w:w="2871"/>
        <w:gridCol w:w="2871"/>
      </w:tblGrid>
      <w:tr>
        <w:trPr>
          <w:cantSplit/>
          <w:tblHeader/>
        </w:trPr>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b-поворот (родительская)</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Замыкание Смагоринского (эта работа)</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Механизм</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геометрический, энергонейтральный</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вихревая вязкость, диссипативный</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Энергия</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сохраняется точно</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монотонно убывает</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Константа</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b = 1/(4π+2√3)</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 1/(π(3C_K/2)^{3/4})</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Характер</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кинематический, точный</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статистический, согласован с K41</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Цель</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подавление взрыва (BKM)</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замыкание подсетки (LES)</w:t>
            </w:r>
          </w:p>
        </w:tc>
      </w:tr>
    </w:tbl>
    <w:p>
      <w:pPr>
        <w:spacing w:after="200" w:before="60"/>
        <w:jc w:val="center"/>
      </w:pPr>
      <w:r>
        <w:rPr>
          <w:rFonts w:ascii="Times New Roman" w:eastAsia="Times New Roman" w:hAnsi="Times New Roman"/>
          <w:i/>
          <w:iCs/>
          <w:color w:val="555555"/>
          <w:sz w:val="20"/>
          <w:szCs w:val="20"/>
        </w:rPr>
        <w:t xml:space="preserve">Таблица 11.1. Две стратегии обуздания переноса в уравнениях Навье–Стокса.</w:t>
      </w:r>
    </w:p>
    <w:p>
      <w:pPr>
        <w:spacing w:after="80" w:line="360"/>
        <w:ind w:firstLine="709"/>
        <w:jc w:val="both"/>
      </w:pPr>
      <w:r>
        <w:rPr>
          <w:rFonts w:ascii="Times New Roman" w:eastAsia="Times New Roman" w:hAnsi="Times New Roman"/>
          <w:color w:val="000000"/>
          <w:sz w:val="24"/>
          <w:szCs w:val="24"/>
        </w:rPr>
        <w:t xml:space="preserve">Методологический параллель важнее арифметического: в обоих случаях «неопределённая константа» оказалась вычислимой, как только фиксировалась система отсчёта — геометрическая или статистическая. Это согласуется с общей философией репозитория: каждый численный аргумент должен заканчиваться замкнутой формулой, верифицированной независимыми исполнениями.</w:t>
      </w:r>
    </w:p>
    <w:p>
      <w:pPr>
        <w:pStyle w:val="Heading1"/>
        <w:spacing w:after="240" w:before="480" w:line="360"/>
      </w:pPr>
      <w:bookmarkStart w:id="100032" w:name="_Toc100032"/>
      <w:r>
        <w:rPr>
          <w:rFonts w:ascii="Times New Roman" w:eastAsia="Times New Roman" w:hAnsi="Times New Roman"/>
          <w:b/>
          <w:bCs/>
          <w:color w:val="000000"/>
          <w:sz w:val="32"/>
          <w:szCs w:val="32"/>
        </w:rPr>
        <w:t xml:space="preserve">12. Гладкость трёхмерных решений: критерии регулярности, b-протокол и спектральные сертификаты</w:t>
      </w:r>
      <w:bookmarkEnd w:id="100032"/>
    </w:p>
    <w:p>
      <w:pPr>
        <w:spacing w:after="80" w:line="360"/>
        <w:ind w:firstLine="709"/>
        <w:jc w:val="both"/>
      </w:pPr>
      <w:r>
        <w:rPr>
          <w:rFonts w:ascii="Times New Roman" w:eastAsia="Times New Roman" w:hAnsi="Times New Roman"/>
          <w:color w:val="000000"/>
          <w:sz w:val="24"/>
          <w:szCs w:val="24"/>
        </w:rPr>
        <w:t xml:space="preserve">Вывод двух констант отвечает на вопрос, как каскад распределяет энергию, но не затрагивает свойства, на котором всё остальное держится, — что решение остаётся гладким. Проблема регулярности трёхмерных уравнений Навье-Стокса — единственная из шести «проблем тысячелетия» Clay, взятая из механики сплошных сред: для слабого решения Лере-Хопфа u с гладкими дивергентно-свободными начальными данными неизвестно, может ли существовать конечное время T*, при котором кинетическая энергия остаётся конечной, но ‖∇u(·,t)‖_∞ расходится при t → T*. Сценарий не академический: скейлинг уравнения допускает сингулярность типа I с законом ‖∇u‖_∞ ~ (T* − t)^{−1/2} и типа II с более быстрым самоподобным ростом, и ни одна теорема не исключает ни ту, ни другую. Эта глава добавляет в программу пятый протокол — P5, который превращает вопрос гладкости в измеренный, зафиксированный и верифицированный на трёх языках ансамбль диагностик на каноническом течении для проверки сингулярностей — вихре Тейлора-Грина.</w:t>
      </w:r>
    </w:p>
    <w:p>
      <w:pPr>
        <w:pStyle w:val="Heading2"/>
        <w:spacing w:after="160" w:before="320" w:line="360"/>
      </w:pPr>
      <w:bookmarkStart w:id="100033" w:name="_Toc100033"/>
      <w:r>
        <w:rPr>
          <w:rFonts w:ascii="Times New Roman" w:eastAsia="Times New Roman" w:hAnsi="Times New Roman"/>
          <w:b/>
          <w:bCs/>
          <w:color w:val="000000"/>
          <w:sz w:val="28"/>
          <w:szCs w:val="28"/>
        </w:rPr>
        <w:t xml:space="preserve">12.1. Иерархия критериев регулярности</w:t>
      </w:r>
      <w:bookmarkEnd w:id="100033"/>
    </w:p>
    <w:p>
      <w:pPr>
        <w:spacing w:after="80" w:line="360"/>
        <w:ind w:firstLine="709"/>
        <w:jc w:val="both"/>
      </w:pPr>
      <w:r>
        <w:rPr>
          <w:rFonts w:ascii="Times New Roman" w:eastAsia="Times New Roman" w:hAnsi="Times New Roman"/>
          <w:color w:val="000000"/>
          <w:sz w:val="24"/>
          <w:szCs w:val="24"/>
        </w:rPr>
        <w:t xml:space="preserve">Численный эксперимент не может доказать глобальную регулярность, но способен удостоверить, что вдоль вычисленной траектории комфортно выполнен каждый из известных критериев. Критерии образуют строгую иерархию, каждый слабее предыдущего, причём именно слабейшие звенья DNS способен отслеживать напрямую. Условие Ладыженской-Проди-Серрина требует принадлежности решения L^p по времени и L^q по пространству с взаимным соотношением</w:t>
      </w:r>
    </w:p>
    <w:p>
      <w:pPr>
        <w:spacing w:after="40" w:before="160"/>
        <w:jc w:val="center"/>
      </w:pPr>
      <w:r>
        <w:drawing>
          <wp:inline distT="0" distB="0" distL="0" distR="0">
            <wp:extent cx="3809048" cy="457086"/>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809048" cy="45708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(12.1)</w:t>
      </w:r>
    </w:p>
    <w:p>
      <w:pPr>
        <w:spacing w:after="80" w:line="360"/>
        <w:ind w:firstLine="709"/>
        <w:jc w:val="both"/>
      </w:pPr>
      <w:r>
        <w:rPr>
          <w:rFonts w:ascii="Times New Roman" w:eastAsia="Times New Roman" w:hAnsi="Times New Roman"/>
          <w:color w:val="000000"/>
          <w:sz w:val="24"/>
          <w:szCs w:val="24"/>
        </w:rPr>
        <w:t xml:space="preserve">где конечная точка (p, q) = (2, 3) всё ещё открыта — именно её и спрашивает премия тысячелетия. Критерий Била-Като-Майды заменяет скорость завихренностью, а норму — супремумом: любое гладкое решение, теряющее регулярность в момент T*, обязано удовлетворять</w:t>
      </w:r>
    </w:p>
    <w:p>
      <w:pPr>
        <w:spacing w:after="40" w:before="160"/>
        <w:jc w:val="center"/>
      </w:pPr>
      <w:r>
        <w:drawing>
          <wp:inline distT="0" distB="0" distL="0" distR="0">
            <wp:extent cx="3809048" cy="469783"/>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809048" cy="469783"/>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(12.2)</w:t>
      </w:r>
    </w:p>
    <w:p>
      <w:pPr>
        <w:spacing w:after="80" w:line="360"/>
        <w:ind w:firstLine="709"/>
        <w:jc w:val="both"/>
      </w:pPr>
      <w:r>
        <w:rPr>
          <w:rFonts w:ascii="Times New Roman" w:eastAsia="Times New Roman" w:hAnsi="Times New Roman"/>
          <w:color w:val="000000"/>
          <w:sz w:val="24"/>
          <w:szCs w:val="24"/>
        </w:rPr>
        <w:t xml:space="preserve">то есть накопленная супремум-норма завихренности обязана взорваться. Локальная частичная регулярность (теорема Каффарелли-Кона-Ниренберга с оптимальным доказательством Линь и уточнением Ладыженской-Серёгина) контролирует меру сингулярного множества через ε-критерий регулярности; Константин и Фефферман показали, что регулярность следует из локальной липшевости по пространству направления завихренности; недавний порог L³(ω) Рипамонти-Серёгина усиливает классические интегрируемые условия. Таблица 12.1 суммирует иерархию, за которой следит протокол P5.</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871"/>
        <w:gridCol w:w="2871"/>
        <w:gridCol w:w="2871"/>
      </w:tblGrid>
      <w:tr>
        <w:trPr>
          <w:cantSplit/>
          <w:tblHeader/>
        </w:trPr>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Критерий</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Условие регулярности на [0, T]</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Источник</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Ладыженская-Проди-Серрин</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u ∈ L^p_t L^q_x, 2/p + 3/q ≤ 1 (при q &gt; 3 доказано)</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Prodi 1959; Serrin 1962; Ладыженская 1967</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Бил-Като-Майда</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I_BKM(T) = ∫₀ᵀ ‖ω‖_∞ dt &lt; ∞</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Beale-Kato-Majda 1984</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ε-регулярность (частичная регулярность)</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|u|² ≤ C ε/(T−t) в параболических шарах → параболическая 1-мерная мера сингулярного множества нулевая</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Caffarelli-Kohn-Nirenberg 1982; Lin 1986</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Направление завихренности</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локальная липшевость направления ω исключает взрыв</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Constantin-Fefferman 1993</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Завихренность в L³</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ω ∈ L^∞_t L³_x достаточно (для осесимметричного случая доказано)</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Ладыженская-Серёгин 1999; Rípamonti-Seregin 2013</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Скейлинг Лере</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T* − t ≳ C ‖u(t)‖²_∞⁻¹ для гипотетической первой сингулярности</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Leray 1934</w:t>
            </w:r>
          </w:p>
        </w:tc>
      </w:tr>
    </w:tbl>
    <w:p>
      <w:pPr>
        <w:spacing w:after="200" w:before="60"/>
        <w:jc w:val="center"/>
      </w:pPr>
      <w:r>
        <w:rPr>
          <w:rFonts w:ascii="Times New Roman" w:eastAsia="Times New Roman" w:hAnsi="Times New Roman"/>
          <w:i/>
          <w:iCs/>
          <w:color w:val="555555"/>
          <w:sz w:val="20"/>
          <w:szCs w:val="20"/>
        </w:rPr>
        <w:t xml:space="preserve">Таблица 12.1. Иерархия критериев регулярности, отслеживаемая P5.</w:t>
      </w:r>
    </w:p>
    <w:p>
      <w:pPr>
        <w:pStyle w:val="Heading2"/>
        <w:spacing w:after="160" w:before="320" w:line="360"/>
      </w:pPr>
      <w:bookmarkStart w:id="100034" w:name="_Toc100034"/>
      <w:r>
        <w:rPr>
          <w:rFonts w:ascii="Times New Roman" w:eastAsia="Times New Roman" w:hAnsi="Times New Roman"/>
          <w:b/>
          <w:bCs/>
          <w:color w:val="000000"/>
          <w:sz w:val="28"/>
          <w:szCs w:val="28"/>
        </w:rPr>
        <w:t xml:space="preserve">12.2. Растяжение завихренности и баланс энстрофии</w:t>
      </w:r>
      <w:bookmarkEnd w:id="100034"/>
    </w:p>
    <w:p>
      <w:pPr>
        <w:spacing w:after="80" w:line="360"/>
        <w:ind w:firstLine="709"/>
        <w:jc w:val="both"/>
      </w:pPr>
      <w:r>
        <w:rPr>
          <w:rFonts w:ascii="Times New Roman" w:eastAsia="Times New Roman" w:hAnsi="Times New Roman"/>
          <w:color w:val="000000"/>
          <w:sz w:val="24"/>
          <w:szCs w:val="24"/>
        </w:rPr>
        <w:t xml:space="preserve">Все диагностики гладкости в конечном счёте прощупывают один механизм — самоусиление завихренности деформацией. Энстрофия Ω(t) = ⟨ω²⟩ подчиняется точному балансу</w:t>
      </w:r>
    </w:p>
    <w:p>
      <w:pPr>
        <w:spacing w:after="40" w:before="160"/>
        <w:jc w:val="center"/>
      </w:pPr>
      <w:r>
        <w:drawing>
          <wp:inline distT="0" distB="0" distL="0" distR="0">
            <wp:extent cx="3809048" cy="584054"/>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809048" cy="584054"/>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(12.3)</w:t>
      </w:r>
    </w:p>
    <w:p>
      <w:pPr>
        <w:spacing w:after="80" w:line="360"/>
        <w:ind w:firstLine="709"/>
        <w:jc w:val="both"/>
      </w:pPr>
      <w:r>
        <w:rPr>
          <w:rFonts w:ascii="Times New Roman" w:eastAsia="Times New Roman" w:hAnsi="Times New Roman"/>
          <w:color w:val="000000"/>
          <w:sz w:val="24"/>
          <w:szCs w:val="24"/>
        </w:rPr>
        <w:t xml:space="preserve">в котором член растяжения 2⟨ω·Sω⟩ — единственный канал питания мелких масштабов: без него Ω монотонно убывала бы, и сингулярность была бы невозможна. Протокол P5 измеряет оба члена независимо — растяжение через полный тензор деформации в физическом пространстве, палестрофийный сток 2ν⟨|∇ω|²⟩ спектрально — и замыкает баланс конечно-разностной производной Ω(t) с относительной невязкой 5.7·10⁻³ (погрешность конечно-разностного дифференцирования лога, а не солвера). Энергетический баланс dE/dt = −2ε замыкается на порядок лучше — 1.1·10⁻³ относительно, а дивергентная невязка начального поля равна 1.3·10⁻¹². Это ворота самопроверки, через которые прошли все числа P5 ниже.</w:t>
      </w:r>
    </w:p>
    <w:p>
      <w:pPr>
        <w:pStyle w:val="Heading2"/>
        <w:spacing w:after="160" w:before="320" w:line="360"/>
      </w:pPr>
      <w:bookmarkStart w:id="100035" w:name="_Toc100035"/>
      <w:r>
        <w:rPr>
          <w:rFonts w:ascii="Times New Roman" w:eastAsia="Times New Roman" w:hAnsi="Times New Roman"/>
          <w:b/>
          <w:bCs/>
          <w:color w:val="000000"/>
          <w:sz w:val="28"/>
          <w:szCs w:val="28"/>
        </w:rPr>
        <w:t xml:space="preserve">12.3. b-протокол на вихре Тейлора-Грина 48³</w:t>
      </w:r>
      <w:bookmarkEnd w:id="100035"/>
    </w:p>
    <w:p>
      <w:pPr>
        <w:spacing w:after="80" w:line="360"/>
        <w:ind w:firstLine="709"/>
        <w:jc w:val="both"/>
      </w:pPr>
      <w:r>
        <w:rPr>
          <w:rFonts w:ascii="Times New Roman" w:eastAsia="Times New Roman" w:hAnsi="Times New Roman"/>
          <w:color w:val="000000"/>
          <w:sz w:val="24"/>
          <w:szCs w:val="24"/>
        </w:rPr>
        <w:t xml:space="preserve">Опорное течение — вихрь Тейлора-Грина в периодической коробке [0, 2π)³, стандартное начальное условие для проверки сингулярностей со времён расчётов мелкомасштабной структуры Браше и соавторов: u = (sin x cos y cos z, −cos x sin y cos z, 0), ν = 0.01, сетка 48³, T = 6, интегрирование схемой РК2 средней точки с интегрирующим множителем и обезразличиванием по правилу 2/3 (диссипация exp(−νk²t) применяется точно, что обязательно для гипердиссипативных прогонов ниже). Прогон A ведёт базовое начальное условие; прогон B — то же поле, повёрнутое на угол программы θ_b = arcsin(b) вокруг оси z; поворот — изометрия, поэтому начальные энергии совпадают тождественно. Рисунок 8 показывает обе траектории.</w:t>
      </w:r>
    </w:p>
    <w:p>
      <w:pPr>
        <w:spacing w:after="40" w:before="160"/>
        <w:jc w:val="center"/>
      </w:pPr>
      <w:r>
        <w:drawing>
          <wp:inline distT="0" distB="0" distL="0" distR="0">
            <wp:extent cx="5586603" cy="2450487"/>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86603" cy="2450487"/>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8. P5, прогоны A и B: энстрофия Ω(t) с пиком при t = 4.90 (слева) и огибающая Била-Като-Майды I(t) (справа). Траектории статистически неразличимы.</w:t>
      </w:r>
    </w:p>
    <w:p>
      <w:pPr>
        <w:spacing w:after="80" w:line="360"/>
        <w:ind w:firstLine="709"/>
        <w:jc w:val="both"/>
      </w:pPr>
      <w:r>
        <w:rPr>
          <w:rFonts w:ascii="Times New Roman" w:eastAsia="Times New Roman" w:hAnsi="Times New Roman"/>
          <w:color w:val="000000"/>
          <w:sz w:val="24"/>
          <w:szCs w:val="24"/>
        </w:rPr>
        <w:t xml:space="preserve">Диагностики выполняют каждый критерий с большим запасом. Энстрофия достигает пика Ω_max = 1.2995 при t = 4.90 и после этого плавно убывает; супремум завихренности не превышает ‖ω‖_∞ = 5.692; BKM-интеграл за весь горизонт остаётся конечным и умеренным, I_BKM(6) = 17.642; серриновские временные интегралы накапливают ∫⟨u⁴⟩ dt = 0.2325 и ∫⟨u⁶⟩^{1/2} dt = 0.5169 — конечные, малые и растущие к концу прогона сублинейно, ровно так ведёт себя траектория без какого-либо намёка на сингулярность. Повёрнутый прогон B воспроизводит всё это с точностью до полу-процента (таблица 12.2): поворот — изометрия, а бюджет завихренности ТГ определяется крупновихревой динамикой, поэтому траекторный эффект однократного b-поворота на огибающую BKM — сдвиг на −0.15 %: такова калибровка P5 для протокола родительской программы на стандартном операторе. Редукция BKM-интеграла, заявленная в цепочке родительской программы для её эталонной конфигурации, — свойство конкретной настройки того протокола, а не универсальная константа поворота; P5 фиксирует значение для стандартного оператора на каноническом тестовом течении.</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153"/>
        <w:gridCol w:w="2153"/>
        <w:gridCol w:w="2153"/>
        <w:gridCol w:w="2153"/>
      </w:tblGrid>
      <w:tr>
        <w:trPr>
          <w:cantSplit/>
          <w:tblHeader/>
        </w:trPr>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Диагностика</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Прогон A (базовый)</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Прогон B (b-поворот)</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B / A</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t пика энстрофии</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4.90</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4.92</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Ω_max = max ⟨ω²⟩</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1.2995</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1.2949</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0.9965</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max ‖ω‖_∞</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5.6921</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5.6386</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0.9906</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max ‖u‖_∞</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0.9936</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0.9919</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0.9983</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I_BKM(6)</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17.642</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17.616</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0.9985</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∫₀⁶ ⟨u⁴⟩ dt</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0.23247</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0.23137</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0.9953</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∫₀⁶ ⟨u⁶⟩^{1/2} dt</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0.51690</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0.51508</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0.9965</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E(6) = ⟨u²⟩</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0.12263</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0.12278</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1.0012</w:t>
            </w:r>
          </w:p>
        </w:tc>
      </w:tr>
    </w:tbl>
    <w:p>
      <w:pPr>
        <w:spacing w:after="200" w:before="60"/>
        <w:jc w:val="center"/>
      </w:pPr>
      <w:r>
        <w:rPr>
          <w:rFonts w:ascii="Times New Roman" w:eastAsia="Times New Roman" w:hAnsi="Times New Roman"/>
          <w:i/>
          <w:iCs/>
          <w:color w:val="555555"/>
          <w:sz w:val="20"/>
          <w:szCs w:val="20"/>
        </w:rPr>
        <w:t xml:space="preserve">Таблица 12.2. Эффект b-протокола на диагностики регулярности (48³, ν = 0.01, T = 6).</w:t>
      </w:r>
    </w:p>
    <w:p>
      <w:pPr>
        <w:pStyle w:val="Heading2"/>
        <w:spacing w:after="160" w:before="320" w:line="360"/>
      </w:pPr>
      <w:bookmarkStart w:id="100036" w:name="_Toc100036"/>
      <w:r>
        <w:rPr>
          <w:rFonts w:ascii="Times New Roman" w:eastAsia="Times New Roman" w:hAnsi="Times New Roman"/>
          <w:b/>
          <w:bCs/>
          <w:color w:val="000000"/>
          <w:sz w:val="28"/>
          <w:szCs w:val="28"/>
        </w:rPr>
        <w:t xml:space="preserve">12.4. Гипердиссипативное семейство и универсальный пик диссипации</w:t>
      </w:r>
      <w:bookmarkEnd w:id="100036"/>
    </w:p>
    <w:p>
      <w:pPr>
        <w:spacing w:after="80" w:line="360"/>
        <w:ind w:firstLine="709"/>
        <w:jc w:val="both"/>
      </w:pPr>
      <w:r>
        <w:rPr>
          <w:rFonts w:ascii="Times New Roman" w:eastAsia="Times New Roman" w:hAnsi="Times New Roman"/>
          <w:color w:val="000000"/>
          <w:sz w:val="24"/>
          <w:szCs w:val="24"/>
        </w:rPr>
        <w:t xml:space="preserve">Самый сильный из доступных инструментов против проблемы 3D регулярности — контрольные эксперименты: замена лапласиана на ν(−Δ)^b и наблюдение за тем, как меняются запасы гладкости. Порог известен: при b ≥ 5/4 глобальная регулярность гипердиссипативной системы — теорема (Коломбо-Хаффтер, уточнившее более ранние соболевские оценки), при b = 1 задача открыта, а весь интервал b ∈ (1, 5/4) не нанесён на карту. У b-семейства есть и точная спектральная теория: обобщённый спектр Пао этой программы с диссипативным масштабом η_b = (ν³/ε)^{1/(6b−2)} нормируется точно замкнутым коэффициентом</w:t>
      </w:r>
    </w:p>
    <w:p>
      <w:pPr>
        <w:spacing w:after="40" w:before="160"/>
        <w:jc w:val="center"/>
      </w:pPr>
      <w:r>
        <w:drawing>
          <wp:inline distT="0" distB="0" distL="0" distR="0">
            <wp:extent cx="3809048" cy="507873"/>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809048" cy="507873"/>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(12.4)</w:t>
      </w:r>
    </w:p>
    <w:p>
      <w:pPr>
        <w:spacing w:after="80" w:line="360"/>
        <w:ind w:firstLine="709"/>
        <w:jc w:val="both"/>
      </w:pPr>
      <w:r>
        <w:rPr>
          <w:rFonts w:ascii="Times New Roman" w:eastAsia="Times New Roman" w:hAnsi="Times New Roman"/>
          <w:color w:val="000000"/>
          <w:sz w:val="24"/>
          <w:szCs w:val="24"/>
        </w:rPr>
        <w:t xml:space="preserve">который при b = 1 переходит в значение главы 5 (C_K Γ(2/3))^{3/2} = 2.895. Одна лишь нормировка фиксирует положение пика диссипационного спектра: оболочечная диссипация D(k) = 2νk^{2b}E(k) обязана иметь пик в точке</w:t>
      </w:r>
    </w:p>
    <w:p>
      <w:pPr>
        <w:spacing w:after="40" w:before="160"/>
        <w:jc w:val="center"/>
      </w:pPr>
      <w:r>
        <w:drawing>
          <wp:inline distT="0" distB="0" distL="0" distR="0">
            <wp:extent cx="3809048" cy="672932"/>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809048" cy="672932"/>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(12.5)</w:t>
      </w:r>
    </w:p>
    <w:p>
      <w:pPr>
        <w:spacing w:after="80" w:line="360"/>
        <w:ind w:firstLine="709"/>
        <w:jc w:val="both"/>
      </w:pPr>
      <w:r>
        <w:rPr>
          <w:rFonts w:ascii="Times New Roman" w:eastAsia="Times New Roman" w:hAnsi="Times New Roman"/>
          <w:color w:val="000000"/>
          <w:sz w:val="24"/>
          <w:szCs w:val="24"/>
        </w:rPr>
        <w:t xml:space="preserve">— беспараметрическое универсальное предсказание (x* зависит только от b). Протокол P5 прогоняет вихрь ТГ при b ∈ {1, 5/4, 3/2, 2} и проверяет коллапс k_d·η_b → x*(b) против измеренных спектральных пиков (таблица 12.3, рис. 9). При b = 1 согласие 4.3 %; у гипердиссипативных показателей измеренные пики на 11 % ниже предсказания — систематический сдвиг, согласующийся с разрешённым запасом k_max·η_b = 1.5–6.2 при 48³: хвост не успевает развить полную теоретическую форму, когда под срезом обезразличивания помещается меньше декады диссипационного диапазона. Что удостоверяет эксперимент — так это порядок и тренд: пересчитанный пик диссипации уходит к k·η_b ≈ 1 с ростом b, ровно как требует замкнутая теория, а запасы гладкости (измеряемые, например, отношением ‖ω‖_∞/Ω^{1/2} или крутизной хвоста) монотонно растут с b — численный портрет теоремы при b ≥ 5/4.</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230"/>
        <w:gridCol w:w="1230"/>
        <w:gridCol w:w="1230"/>
        <w:gridCol w:w="1230"/>
        <w:gridCol w:w="1230"/>
        <w:gridCol w:w="1230"/>
        <w:gridCol w:w="1230"/>
      </w:tblGrid>
      <w:tr>
        <w:trPr>
          <w:cantSplit/>
          <w:tblHeader/>
        </w:trPr>
        <w:tc>
          <w:tcPr>
            <w:tcW w:type="pct" w:w="714"/>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b</w:t>
            </w:r>
          </w:p>
        </w:tc>
        <w:tc>
          <w:tcPr>
            <w:tcW w:type="pct" w:w="714"/>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β_b (теория)</w:t>
            </w:r>
          </w:p>
        </w:tc>
        <w:tc>
          <w:tcPr>
            <w:tcW w:type="pct" w:w="714"/>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η_b</w:t>
            </w:r>
          </w:p>
        </w:tc>
        <w:tc>
          <w:tcPr>
            <w:tcW w:type="pct" w:w="714"/>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k_d·η_b (измерение)</w:t>
            </w:r>
          </w:p>
        </w:tc>
        <w:tc>
          <w:tcPr>
            <w:tcW w:type="pct" w:w="714"/>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x*(b) (теория)</w:t>
            </w:r>
          </w:p>
        </w:tc>
        <w:tc>
          <w:tcPr>
            <w:tcW w:type="pct" w:w="714"/>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отклонение</w:t>
            </w:r>
          </w:p>
        </w:tc>
        <w:tc>
          <w:tcPr>
            <w:tcW w:type="pct" w:w="714"/>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k_max/η_b</w:t>
            </w:r>
          </w:p>
        </w:tc>
      </w:tr>
      <w:tr>
        <w:trPr>
          <w:cantSplit/>
        </w:trPr>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2.8948</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0.0956</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0.2503</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0.2399</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4.3 %</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1.53</w:t>
            </w:r>
          </w:p>
        </w:tc>
      </w:tr>
      <w:tr>
        <w:trPr>
          <w:cantSplit/>
        </w:trPr>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5/4</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1.7350</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0.1772</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0.4594</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0.5169</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11.1 %</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2.84</w:t>
            </w:r>
          </w:p>
        </w:tc>
      </w:tr>
      <w:tr>
        <w:trPr>
          <w:cantSplit/>
        </w:trPr>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3/2</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1.2508</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0.2549</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0.6306</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0.7083</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11.0 %</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4.08</w:t>
            </w:r>
          </w:p>
        </w:tc>
      </w:tr>
      <w:tr>
        <w:trPr>
          <w:cantSplit/>
        </w:trPr>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0.8189</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0.3872</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0.8186</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0.9187</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10.9 %</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6.20</w:t>
            </w:r>
          </w:p>
        </w:tc>
      </w:tr>
    </w:tbl>
    <w:p>
      <w:pPr>
        <w:spacing w:after="200" w:before="60"/>
        <w:jc w:val="center"/>
      </w:pPr>
      <w:r>
        <w:rPr>
          <w:rFonts w:ascii="Times New Roman" w:eastAsia="Times New Roman" w:hAnsi="Times New Roman"/>
          <w:i/>
          <w:iCs/>
          <w:color w:val="555555"/>
          <w:sz w:val="20"/>
          <w:szCs w:val="20"/>
        </w:rPr>
        <w:t xml:space="preserve">Таблица 12.3. Гипердиссипативное семейство: замкнутая нормировка обобщённого спектра Пао β_b, измеренные пики диссипации против универсального предсказания x*(b) и разрешённый запас.</w:t>
      </w:r>
    </w:p>
    <w:p>
      <w:pPr>
        <w:spacing w:after="40" w:before="160"/>
        <w:jc w:val="center"/>
      </w:pPr>
      <w:r>
        <w:drawing>
          <wp:inline distT="0" distB="0" distL="0" distR="0">
            <wp:extent cx="5586603" cy="2450487"/>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86603" cy="2450487"/>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9. P5, b-семейство: оболочечная диссипация D_b(k) = 2νk^{2b}E(k) при t = 2 с измеренными пиками (слева) и универсальный коллапс k_d·η_b против x*(b) (справа); отклонения 4-11 % ограничены разрешением и подписаны у точек.</w:t>
      </w:r>
    </w:p>
    <w:p>
      <w:pPr>
        <w:pStyle w:val="Heading2"/>
        <w:spacing w:after="160" w:before="320" w:line="360"/>
      </w:pPr>
      <w:bookmarkStart w:id="100037" w:name="_Toc100037"/>
      <w:r>
        <w:rPr>
          <w:rFonts w:ascii="Times New Roman" w:eastAsia="Times New Roman" w:hAnsi="Times New Roman"/>
          <w:b/>
          <w:bCs/>
          <w:color w:val="000000"/>
          <w:sz w:val="28"/>
          <w:szCs w:val="28"/>
        </w:rPr>
        <w:t xml:space="preserve">12.5. Спектральный сертификат гладкости</w:t>
      </w:r>
      <w:bookmarkEnd w:id="100037"/>
    </w:p>
    <w:p>
      <w:pPr>
        <w:spacing w:after="80" w:line="360"/>
        <w:ind w:firstLine="709"/>
        <w:jc w:val="both"/>
      </w:pPr>
      <w:r>
        <w:rPr>
          <w:rFonts w:ascii="Times New Roman" w:eastAsia="Times New Roman" w:hAnsi="Times New Roman"/>
          <w:color w:val="000000"/>
          <w:sz w:val="24"/>
          <w:szCs w:val="24"/>
        </w:rPr>
        <w:t xml:space="preserve">Аналитические функции имеют экспоненциально убывающие фурье-хвосты; решение, готовое потерять регулярность, обязано вместо этого наращивать степенной хвост с замедляющимся показателем. Это наблюдение превращает сам спектр в инструмент регулярности: на верхней части обезразличенной полосы (k ∈ [11, 16], пять-шесть оболочек) протокол P5 подгоняет в каждой точке сохранения и экспоненту E ≈ A e^{−ck}, и степень E ≈ A k^{−σ}, отслеживая качество обеих параметризаций во времени (рис. 10).</w:t>
      </w:r>
    </w:p>
    <w:p>
      <w:pPr>
        <w:spacing w:after="40" w:before="160"/>
        <w:jc w:val="center"/>
      </w:pPr>
      <w:r>
        <w:drawing>
          <wp:inline distT="0" distB="0" distL="0" distR="0">
            <wp:extent cx="3809048" cy="304724"/>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809048" cy="304724"/>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(12.6)</w:t>
      </w:r>
    </w:p>
    <w:p>
      <w:pPr>
        <w:spacing w:after="80" w:line="360"/>
        <w:ind w:firstLine="709"/>
        <w:jc w:val="both"/>
      </w:pPr>
      <w:r>
        <w:rPr>
          <w:rFonts w:ascii="Times New Roman" w:eastAsia="Times New Roman" w:hAnsi="Times New Roman"/>
          <w:color w:val="000000"/>
          <w:sz w:val="24"/>
          <w:szCs w:val="24"/>
        </w:rPr>
        <w:t xml:space="preserve">В самый опасный момент течения — пик энстрофии — наклон хвоста равен σ = −6.64 при R² = 0.969 для степени, а экспоненциальная подгонка даёт c ≈ 0.50 при R² = 0.971. Сертификат держится на двух фактах. Во-первых, показатель −6.6 ложится на далёкий диссипативный закон Гейзенберга k⁻⁷ из главы 5 — то же замыкание, чья калибровка дала C_K(α) = (8/9α)^{2/3}, предсказывает и форму хвоста, удостоверяющую гладкость, — теперь измеренную на настоящем трёхмерном DNS. Во-вторых, крутизна стабильна вдоль всей траектории: по мере прохождения энстрофии через максимум хвост не тяжелеет, и подгонки не ухудшаются к концу горизонта. При пяти-шести оболочках в полосе две параметризации почти неразличимы — сертификатом служат крутизна и её стабильность, а не выбор между ними, и протокол честно фиксирует обе.</w:t>
      </w:r>
    </w:p>
    <w:p>
      <w:pPr>
        <w:spacing w:after="40" w:before="160"/>
        <w:jc w:val="center"/>
      </w:pPr>
      <w:r>
        <w:drawing>
          <wp:inline distT="0" distB="0" distL="0" distR="0">
            <wp:extent cx="5586603" cy="2450487"/>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86603" cy="2450487"/>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10. P5, прогон A: энергетический спектр при t = 0.5, 2, 4 с экспоненциальными подгонками по сертификационной полосе (слева) и качество подгонки экспоненты против степени вдоль траектории (справа).</w:t>
      </w:r>
    </w:p>
    <w:p>
      <w:pPr>
        <w:pStyle w:val="Heading2"/>
        <w:spacing w:after="160" w:before="320" w:line="360"/>
      </w:pPr>
      <w:bookmarkStart w:id="100038" w:name="_Toc100038"/>
      <w:r>
        <w:rPr>
          <w:rFonts w:ascii="Times New Roman" w:eastAsia="Times New Roman" w:hAnsi="Times New Roman"/>
          <w:b/>
          <w:bCs/>
          <w:color w:val="000000"/>
          <w:sz w:val="28"/>
          <w:szCs w:val="28"/>
        </w:rPr>
        <w:t xml:space="preserve">12.6. Протокол P5 и трёхъязычная верификация</w:t>
      </w:r>
      <w:bookmarkEnd w:id="100038"/>
    </w:p>
    <w:p>
      <w:pPr>
        <w:spacing w:after="80" w:line="360"/>
        <w:ind w:firstLine="709"/>
        <w:jc w:val="both"/>
      </w:pPr>
      <w:r>
        <w:rPr>
          <w:rFonts w:ascii="Times New Roman" w:eastAsia="Times New Roman" w:hAnsi="Times New Roman"/>
          <w:color w:val="000000"/>
          <w:sz w:val="24"/>
          <w:szCs w:val="24"/>
        </w:rPr>
        <w:t xml:space="preserve">Полный ансамбль P5 — два траекторных прогона, три гипердиссипативных, экспорт снапшота, подгонки и проверка предсказаний — реализован на Python (numpy, ~10 минут на двух ядрах) и верифицирован ещё на двух языках. Трек C++ (ядро на long double) пересчитывает аналитические константы, загружает сырой f64-снапшот пары (u, ω) и заново выводит физико-пространственные диагностики; трек Julia делает то же с самописным radix-2 FFT и без внешних пакетов. Оба к тому же интегрируют один и тот же миниатюрный 16³ прогон Тейлора-Грина. Уровни согласия: аналитический блок (β_b, x*(b), показатели) — до 2.3·10⁻¹²; диагностики снапшота — до 3.3·10⁻¹²; миниатюрная динамика совпадает с Python с машинной точностью при t = 0, до 1.3·10⁻⁸ на [0, 0.1] (девиацию задаёт супремум-норма, у которой точка максимума почти вырождена) и до 8.1·10⁻⁶ при t = 1, причём экспоненциальная скорость роста расхождения ≈ 21 на единицу времени — сама по себе оценка старшего ляпуновского показателя мини-потока. Ворота самопроверки основного прогона (дивергентная невязка 1.3·10⁻¹², энергобаланс ≤ 1.1·10⁻³, баланс энстрофии 5.7·10⁻³) и кросс-языковое согласие зафиксированы в results/p5_regularity.json и results/p5_cross_language.json с SHA-256 хэшами всех исходников.</w:t>
      </w:r>
    </w:p>
    <w:p>
      <w:pPr>
        <w:pStyle w:val="Heading2"/>
        <w:spacing w:after="160" w:before="320" w:line="360"/>
      </w:pPr>
      <w:bookmarkStart w:id="100039" w:name="_Toc100039"/>
      <w:r>
        <w:rPr>
          <w:rFonts w:ascii="Times New Roman" w:eastAsia="Times New Roman" w:hAnsi="Times New Roman"/>
          <w:b/>
          <w:bCs/>
          <w:color w:val="000000"/>
          <w:sz w:val="28"/>
          <w:szCs w:val="28"/>
        </w:rPr>
        <w:t xml:space="preserve">12.7. Что устанавливает и что не устанавливает эта глава</w:t>
      </w:r>
      <w:bookmarkEnd w:id="100039"/>
    </w:p>
    <w:p>
      <w:pPr>
        <w:spacing w:after="80" w:line="360"/>
        <w:ind w:firstLine="709"/>
        <w:jc w:val="both"/>
      </w:pPr>
      <w:r>
        <w:rPr>
          <w:rFonts w:ascii="Times New Roman" w:eastAsia="Times New Roman" w:hAnsi="Times New Roman"/>
          <w:color w:val="000000"/>
          <w:sz w:val="24"/>
          <w:szCs w:val="24"/>
        </w:rPr>
        <w:t xml:space="preserve">Устанавливается: на каноническом течении для проверки сингулярностей, при достигнутых разрешении и горизонте, каждый из классических критериев регулярности выполнен с большим запасом; b-поворот родительской программы регулярен-нейтрален на уровне траектории для стандартного оператора (сдвиг BKM на −0.15 %, теперь зафиксирован); гипердиссипативное семейство воспроизводит универсальный пересчитанный пик диссипации замкнутой теории обобщённого Пао с точностью 4-11 %, ограниченной разрешением; спектральный хвост сохраняет гейзенберговскую крутизну вдоль всей траектории. Не устанавливается: глобальная регулярность — численный эксперимент удостоверяет критерии на конечном горизонте и не может исключить сингулярность за его пределами, а разрешение 48³ оставляет далёкий хвост лишь частично разрешённым. Вклад главы методологический: гладкость рассматривается как измеряемая величина с зафиксированными протоколами, замкнутыми предсказаниями и трёхъязычной верификацией — в той же дисциплине, которую программа применяет к C_s и C_K.</w:t>
      </w:r>
    </w:p>
    <w:p>
      <w:pPr>
        <w:pStyle w:val="Heading1"/>
        <w:spacing w:after="240" w:before="480" w:line="360"/>
      </w:pPr>
      <w:bookmarkStart w:id="100040" w:name="_Toc100040"/>
      <w:r>
        <w:rPr>
          <w:rFonts w:ascii="Times New Roman" w:eastAsia="Times New Roman" w:hAnsi="Times New Roman"/>
          <w:b/>
          <w:bCs/>
          <w:color w:val="000000"/>
          <w:sz w:val="32"/>
          <w:szCs w:val="32"/>
        </w:rPr>
        <w:t xml:space="preserve">13. Обсуждение: что утверждается и что нет</w:t>
      </w:r>
      <w:bookmarkEnd w:id="100040"/>
    </w:p>
    <w:p>
      <w:pPr>
        <w:spacing w:after="80" w:line="360"/>
        <w:ind w:firstLine="709"/>
        <w:jc w:val="both"/>
      </w:pPr>
      <w:r>
        <w:rPr>
          <w:rFonts w:ascii="Times New Roman" w:eastAsia="Times New Roman" w:hAnsi="Times New Roman"/>
          <w:color w:val="000000"/>
          <w:sz w:val="24"/>
          <w:szCs w:val="24"/>
        </w:rPr>
        <w:t xml:space="preserve">Что утверждается. (i) Соотношение C_s(C_K) = 1/(π(3C_K/2)^{3/4}) выведено явно, в зафиксированных конвенциях, и воспроизводит классическое значение Лилли до 6·10⁻⁶. (ii) Поправки — форма фильтра, конечное Δ/η — квантифицированы и подтверждены Монте-Карло. (iii) На гауссовых полях a priori C_s тождественно нуль: спектр не создаёт каскадной когерентности. (iv) На разрешённо-ограниченном DNS a priori значение ниже гауссова, динамическая процедура детектирует бэкскэттер. (v) Аналитическое ядро согласовано на трёх языках программирования до 5–6 цифр.</w:t>
      </w:r>
    </w:p>
    <w:p>
      <w:pPr>
        <w:spacing w:after="80" w:line="360"/>
        <w:ind w:firstLine="709"/>
        <w:jc w:val="both"/>
      </w:pPr>
      <w:r>
        <w:rPr>
          <w:rFonts w:ascii="Times New Roman" w:eastAsia="Times New Roman" w:hAnsi="Times New Roman"/>
          <w:color w:val="000000"/>
          <w:sz w:val="24"/>
          <w:szCs w:val="24"/>
        </w:rPr>
        <w:t xml:space="preserve">Что не утверждается. Мы не претендуем на исторический приоритет алгебры: согласование Лилли описано в литературе 1960-х. Мы не «вывели» C_K из первых принципов: замыкание Гейзенберга сводит его к константе переноса α, калибруемой экспериментально — честный статус любого двухточечного замыкания. A priori значение на 48³-DNS — нижняя граница из-за разрешения, а не точное измерение. Веб-приложение программы двумерно и визуально: его спектры качественны по построению. Наконец, shell-модели в программе нет: разведочный этап показал, что пространство строго локальных трёхчленных энергосохраняющих триад вырождено, а калибровка C_K в shell-моделях модельно зависима; прямой спектральный маршрут оказался чище (глава 8).</w:t>
      </w:r>
    </w:p>
    <w:p>
      <w:pPr>
        <w:spacing w:after="80" w:line="360"/>
        <w:ind w:firstLine="709"/>
        <w:jc w:val="both"/>
      </w:pPr>
      <w:r>
        <w:rPr>
          <w:rFonts w:ascii="Times New Roman" w:eastAsia="Times New Roman" w:hAnsi="Times New Roman"/>
          <w:color w:val="000000"/>
          <w:sz w:val="24"/>
          <w:szCs w:val="24"/>
        </w:rPr>
        <w:t xml:space="preserve">Естественное продолжение — 256³ DNS с k_max/k_η ≥ 1.5, на котором a priori ветка P4 станет количественной; вычислительный бюджет такого прогона (порядка восьми ядро-часов) не выходит за рамки настольной станции. Второе направление — применение динамической процедуры к анзатце b-поворота: энергетически нейтральный механизм родительской программы не имеет диссипативной константы по построению, и измерение эффективного вихревого отклика b-поля динамическими средствами представляется самостоятельной задачей. Третье направление — программа 3D-гладкости с BKM/LPS-диагностиками, b-протоколом и гипердиссипативным семейством — исполнено как протокол P5 и изложено в главе 12.</w:t>
      </w:r>
    </w:p>
    <w:p>
      <w:pPr>
        <w:pStyle w:val="Heading1"/>
        <w:spacing w:after="240" w:before="480" w:line="360"/>
      </w:pPr>
      <w:bookmarkStart w:id="100041" w:name="_Toc100041"/>
      <w:r>
        <w:rPr>
          <w:rFonts w:ascii="Times New Roman" w:eastAsia="Times New Roman" w:hAnsi="Times New Roman"/>
          <w:b/>
          <w:bCs/>
          <w:color w:val="000000"/>
          <w:sz w:val="32"/>
          <w:szCs w:val="32"/>
        </w:rPr>
        <w:t xml:space="preserve">14. Заключение</w:t>
      </w:r>
      <w:bookmarkEnd w:id="100041"/>
    </w:p>
    <w:p>
      <w:pPr>
        <w:spacing w:after="80" w:line="360"/>
        <w:ind w:firstLine="709"/>
        <w:jc w:val="both"/>
      </w:pPr>
      <w:r>
        <w:rPr>
          <w:rFonts w:ascii="Times New Roman" w:eastAsia="Times New Roman" w:hAnsi="Times New Roman"/>
          <w:color w:val="000000"/>
          <w:sz w:val="24"/>
          <w:szCs w:val="24"/>
        </w:rPr>
        <w:t xml:space="preserve">Две самые знаменитые неопределённые константы турбулентности связаны замкнутым соотношением C_s = 1/(π(3C_K/2)^{3/4}). При экспериментальном C_K = 1.50 оно даёт C_s = 0.17327 — классическое значение Лилли с точностью 6·10⁻⁶; семейство фильтров даёт диапазон 0.157–0.173; вязко-хвостовая поправка Пао и перемежаемость реальных течений объясняют остальной разброс литературы. Каждый шаг цепочки исполнен: аналитика продублирована на трёх языках, спектральные тождества проверены на 96³ полях, динамическая гипотеза — на DNS, все протоколы зафиксированы в JSON с хэшами. Постоянные Смагоринского и Колмогорова — одна константа, увиденная дважды: как амплитуда каскада и как цена его замыкания.</w:t>
      </w:r>
    </w:p>
    <w:p>
      <w:pPr>
        <w:pStyle w:val="Heading1"/>
        <w:spacing w:after="240" w:before="480" w:line="360"/>
      </w:pPr>
      <w:bookmarkStart w:id="100042" w:name="_Toc100042"/>
      <w:r>
        <w:rPr>
          <w:rFonts w:ascii="Times New Roman" w:eastAsia="Times New Roman" w:hAnsi="Times New Roman"/>
          <w:b/>
          <w:bCs/>
          <w:color w:val="000000"/>
          <w:sz w:val="32"/>
          <w:szCs w:val="32"/>
        </w:rPr>
        <w:t xml:space="preserve">Литература</w:t>
      </w:r>
      <w:bookmarkEnd w:id="100042"/>
    </w:p>
    <w:p>
      <w:pPr>
        <w:spacing w:after="60" w:line="320"/>
        <w:ind w:left="480" w:hanging="480"/>
        <w:jc w:val="left"/>
      </w:pPr>
      <w:r>
        <w:rPr>
          <w:rFonts w:ascii="Times New Roman" w:eastAsia="Times New Roman" w:hAnsi="Times New Roman"/>
          <w:color w:val="000000"/>
          <w:sz w:val="21"/>
          <w:szCs w:val="21"/>
        </w:rPr>
        <w:t xml:space="preserve">Kolmogorov A. N. The local structure of turbulence in incompressible viscous fluid for very large Reynolds numbers // Dokl. Akad. Nauk SSSR. 1941. V. 30. P. 301–305.</w:t>
      </w:r>
    </w:p>
    <w:p>
      <w:pPr>
        <w:spacing w:after="60" w:line="320"/>
        <w:ind w:left="480" w:hanging="480"/>
        <w:jc w:val="left"/>
      </w:pPr>
      <w:r>
        <w:rPr>
          <w:rFonts w:ascii="Times New Roman" w:eastAsia="Times New Roman" w:hAnsi="Times New Roman"/>
          <w:color w:val="000000"/>
          <w:sz w:val="21"/>
          <w:szCs w:val="21"/>
        </w:rPr>
        <w:t xml:space="preserve">Kolmogorov A. N. Dissipation of energy in locally isotropic turbulence // Dokl. Akad. Nauk SSSR. 1941. V. 32. P. 16–18.</w:t>
      </w:r>
    </w:p>
    <w:p>
      <w:pPr>
        <w:spacing w:after="60" w:line="320"/>
        <w:ind w:left="480" w:hanging="480"/>
        <w:jc w:val="left"/>
      </w:pPr>
      <w:r>
        <w:rPr>
          <w:rFonts w:ascii="Times New Roman" w:eastAsia="Times New Roman" w:hAnsi="Times New Roman"/>
          <w:color w:val="000000"/>
          <w:sz w:val="21"/>
          <w:szCs w:val="21"/>
        </w:rPr>
        <w:t xml:space="preserve">Obukhov A. M. On the distribution of energy in the spectrum of turbulent flow // Dokl. Akad. Nauk SSSR. 1941. V. 32. P. 22–24.</w:t>
      </w:r>
    </w:p>
    <w:p>
      <w:pPr>
        <w:spacing w:after="60" w:line="320"/>
        <w:ind w:left="480" w:hanging="480"/>
        <w:jc w:val="left"/>
      </w:pPr>
      <w:r>
        <w:rPr>
          <w:rFonts w:ascii="Times New Roman" w:eastAsia="Times New Roman" w:hAnsi="Times New Roman"/>
          <w:color w:val="000000"/>
          <w:sz w:val="21"/>
          <w:szCs w:val="21"/>
        </w:rPr>
        <w:t xml:space="preserve">Heisenberg W. Zur statistischen Theorie der Turbulenz // Z. Phys. 1948. V. 124. P. 628–657.</w:t>
      </w:r>
    </w:p>
    <w:p>
      <w:pPr>
        <w:spacing w:after="60" w:line="320"/>
        <w:ind w:left="480" w:hanging="480"/>
        <w:jc w:val="left"/>
      </w:pPr>
      <w:r>
        <w:rPr>
          <w:rFonts w:ascii="Times New Roman" w:eastAsia="Times New Roman" w:hAnsi="Times New Roman"/>
          <w:color w:val="000000"/>
          <w:sz w:val="21"/>
          <w:szCs w:val="21"/>
        </w:rPr>
        <w:t xml:space="preserve">Kraichnan R. H. The structure of isotropic turbulence at very high Reynolds numbers // J. Fluid Mech. 1959. V. 5. P. 497–543.</w:t>
      </w:r>
    </w:p>
    <w:p>
      <w:pPr>
        <w:spacing w:after="60" w:line="320"/>
        <w:ind w:left="480" w:hanging="480"/>
        <w:jc w:val="left"/>
      </w:pPr>
      <w:r>
        <w:rPr>
          <w:rFonts w:ascii="Times New Roman" w:eastAsia="Times New Roman" w:hAnsi="Times New Roman"/>
          <w:color w:val="000000"/>
          <w:sz w:val="21"/>
          <w:szCs w:val="21"/>
        </w:rPr>
        <w:t xml:space="preserve">Kraichnan R. H. Lagrangian-history closure approximation for turbulence // Phys. Fluids. 1965. V. 8. P. 575–598.</w:t>
      </w:r>
    </w:p>
    <w:p>
      <w:pPr>
        <w:spacing w:after="60" w:line="320"/>
        <w:ind w:left="480" w:hanging="480"/>
        <w:jc w:val="left"/>
      </w:pPr>
      <w:r>
        <w:rPr>
          <w:rFonts w:ascii="Times New Roman" w:eastAsia="Times New Roman" w:hAnsi="Times New Roman"/>
          <w:color w:val="000000"/>
          <w:sz w:val="21"/>
          <w:szCs w:val="21"/>
        </w:rPr>
        <w:t xml:space="preserve">Kraichnan R. H. Inertial ranges in two-dimensional turbulence // Phys. Fluids. 1967. V. 10. P. 1417–1423.</w:t>
      </w:r>
    </w:p>
    <w:p>
      <w:pPr>
        <w:spacing w:after="60" w:line="320"/>
        <w:ind w:left="480" w:hanging="480"/>
        <w:jc w:val="left"/>
      </w:pPr>
      <w:r>
        <w:rPr>
          <w:rFonts w:ascii="Times New Roman" w:eastAsia="Times New Roman" w:hAnsi="Times New Roman"/>
          <w:color w:val="000000"/>
          <w:sz w:val="21"/>
          <w:szCs w:val="21"/>
        </w:rPr>
        <w:t xml:space="preserve">Smagorinsky J. General circulation experiments with the primitive equations // Mon. Wea. Rev. 1963. V. 91. P. 99–164.</w:t>
      </w:r>
    </w:p>
    <w:p>
      <w:pPr>
        <w:spacing w:after="60" w:line="320"/>
        <w:ind w:left="480" w:hanging="480"/>
        <w:jc w:val="left"/>
      </w:pPr>
      <w:r>
        <w:rPr>
          <w:rFonts w:ascii="Times New Roman" w:eastAsia="Times New Roman" w:hAnsi="Times New Roman"/>
          <w:color w:val="000000"/>
          <w:sz w:val="21"/>
          <w:szCs w:val="21"/>
        </w:rPr>
        <w:t xml:space="preserve">Lilly D. K. The representation of small-scale turbulence in numerical simulation experiments // Proc. IBM Sci. Comput. Symp. 1967. P. 195–210.</w:t>
      </w:r>
    </w:p>
    <w:p>
      <w:pPr>
        <w:spacing w:after="60" w:line="320"/>
        <w:ind w:left="480" w:hanging="480"/>
        <w:jc w:val="left"/>
      </w:pPr>
      <w:r>
        <w:rPr>
          <w:rFonts w:ascii="Times New Roman" w:eastAsia="Times New Roman" w:hAnsi="Times New Roman"/>
          <w:color w:val="000000"/>
          <w:sz w:val="21"/>
          <w:szCs w:val="21"/>
        </w:rPr>
        <w:t xml:space="preserve">Lilly D. K. A proposed modification of the Germano subgrid-scale closure method // Phys. Fluids A. 1992. V. 4. P. 633–635.</w:t>
      </w:r>
    </w:p>
    <w:p>
      <w:pPr>
        <w:spacing w:after="60" w:line="320"/>
        <w:ind w:left="480" w:hanging="480"/>
        <w:jc w:val="left"/>
      </w:pPr>
      <w:r>
        <w:rPr>
          <w:rFonts w:ascii="Times New Roman" w:eastAsia="Times New Roman" w:hAnsi="Times New Roman"/>
          <w:color w:val="000000"/>
          <w:sz w:val="21"/>
          <w:szCs w:val="21"/>
        </w:rPr>
        <w:t xml:space="preserve">Deardorff J. W. A numerical study of three-dimensional turbulent channel flow at large Reynolds numbers // J. Fluid Mech. 1970. V. 41. P. 453–480.</w:t>
      </w:r>
    </w:p>
    <w:p>
      <w:pPr>
        <w:spacing w:after="60" w:line="320"/>
        <w:ind w:left="480" w:hanging="480"/>
        <w:jc w:val="left"/>
      </w:pPr>
      <w:r>
        <w:rPr>
          <w:rFonts w:ascii="Times New Roman" w:eastAsia="Times New Roman" w:hAnsi="Times New Roman"/>
          <w:color w:val="000000"/>
          <w:sz w:val="21"/>
          <w:szCs w:val="21"/>
        </w:rPr>
        <w:t xml:space="preserve">Deardorff J. W. Stratocumulus-capped mixed layers derived from a three-dimensional model // Bound.-Layer Meteor. 1974. V. 7. P. 81–106.</w:t>
      </w:r>
    </w:p>
    <w:p>
      <w:pPr>
        <w:spacing w:after="60" w:line="320"/>
        <w:ind w:left="480" w:hanging="480"/>
        <w:jc w:val="left"/>
      </w:pPr>
      <w:r>
        <w:rPr>
          <w:rFonts w:ascii="Times New Roman" w:eastAsia="Times New Roman" w:hAnsi="Times New Roman"/>
          <w:color w:val="000000"/>
          <w:sz w:val="21"/>
          <w:szCs w:val="21"/>
        </w:rPr>
        <w:t xml:space="preserve">Germano M. Turbulence: the filtering approach // J. Fluid Mech. 1992. V. 238. P. 325–336.</w:t>
      </w:r>
    </w:p>
    <w:p>
      <w:pPr>
        <w:spacing w:after="60" w:line="320"/>
        <w:ind w:left="480" w:hanging="480"/>
        <w:jc w:val="left"/>
      </w:pPr>
      <w:r>
        <w:rPr>
          <w:rFonts w:ascii="Times New Roman" w:eastAsia="Times New Roman" w:hAnsi="Times New Roman"/>
          <w:color w:val="000000"/>
          <w:sz w:val="21"/>
          <w:szCs w:val="21"/>
        </w:rPr>
        <w:t xml:space="preserve">Germano M., Piomelli U., Moin P., Cabot W. H. A dynamic subgrid-scale eddy viscosity model // Phys. Fluids A. 1991. V. 3. P. 1760–1765.</w:t>
      </w:r>
    </w:p>
    <w:p>
      <w:pPr>
        <w:spacing w:after="60" w:line="320"/>
        <w:ind w:left="480" w:hanging="480"/>
        <w:jc w:val="left"/>
      </w:pPr>
      <w:r>
        <w:rPr>
          <w:rFonts w:ascii="Times New Roman" w:eastAsia="Times New Roman" w:hAnsi="Times New Roman"/>
          <w:color w:val="000000"/>
          <w:sz w:val="21"/>
          <w:szCs w:val="21"/>
        </w:rPr>
        <w:t xml:space="preserve">Moin P., Kim J. Numerical investigation of turbulent channel flow // J. Fluid Mech. 1982. V. 118. P. 341–377.</w:t>
      </w:r>
    </w:p>
    <w:p>
      <w:pPr>
        <w:spacing w:after="60" w:line="320"/>
        <w:ind w:left="480" w:hanging="480"/>
        <w:jc w:val="left"/>
      </w:pPr>
      <w:r>
        <w:rPr>
          <w:rFonts w:ascii="Times New Roman" w:eastAsia="Times New Roman" w:hAnsi="Times New Roman"/>
          <w:color w:val="000000"/>
          <w:sz w:val="21"/>
          <w:szCs w:val="21"/>
        </w:rPr>
        <w:t xml:space="preserve">Piomelli U., Zang T. A., Speziale C. G., Hussaini M. Y. On the large-eddy simulation of transitional wall-bounded flows // Phys. Fluids A. 1990. V. 2. P. 257–265.</w:t>
      </w:r>
    </w:p>
    <w:p>
      <w:pPr>
        <w:spacing w:after="60" w:line="320"/>
        <w:ind w:left="480" w:hanging="480"/>
        <w:jc w:val="left"/>
      </w:pPr>
      <w:r>
        <w:rPr>
          <w:rFonts w:ascii="Times New Roman" w:eastAsia="Times New Roman" w:hAnsi="Times New Roman"/>
          <w:color w:val="000000"/>
          <w:sz w:val="21"/>
          <w:szCs w:val="21"/>
        </w:rPr>
        <w:t xml:space="preserve">Pope S. B. Turbulent Flows. Cambridge University Press, 2000.</w:t>
      </w:r>
    </w:p>
    <w:p>
      <w:pPr>
        <w:spacing w:after="60" w:line="320"/>
        <w:ind w:left="480" w:hanging="480"/>
        <w:jc w:val="left"/>
      </w:pPr>
      <w:r>
        <w:rPr>
          <w:rFonts w:ascii="Times New Roman" w:eastAsia="Times New Roman" w:hAnsi="Times New Roman"/>
          <w:color w:val="000000"/>
          <w:sz w:val="21"/>
          <w:szCs w:val="21"/>
        </w:rPr>
        <w:t xml:space="preserve">Frisch U. Turbulence: The Legacy of A. N. Kolmogorov. Cambridge University Press, 1995.</w:t>
      </w:r>
    </w:p>
    <w:p>
      <w:pPr>
        <w:spacing w:after="60" w:line="320"/>
        <w:ind w:left="480" w:hanging="480"/>
        <w:jc w:val="left"/>
      </w:pPr>
      <w:r>
        <w:rPr>
          <w:rFonts w:ascii="Times New Roman" w:eastAsia="Times New Roman" w:hAnsi="Times New Roman"/>
          <w:color w:val="000000"/>
          <w:sz w:val="21"/>
          <w:szCs w:val="21"/>
        </w:rPr>
        <w:t xml:space="preserve">Sagaut P. Large Eddy Simulation for Incompressible Flows. 3rd ed. Springer, 2006.</w:t>
      </w:r>
    </w:p>
    <w:p>
      <w:pPr>
        <w:spacing w:after="60" w:line="320"/>
        <w:ind w:left="480" w:hanging="480"/>
        <w:jc w:val="left"/>
      </w:pPr>
      <w:r>
        <w:rPr>
          <w:rFonts w:ascii="Times New Roman" w:eastAsia="Times New Roman" w:hAnsi="Times New Roman"/>
          <w:color w:val="000000"/>
          <w:sz w:val="21"/>
          <w:szCs w:val="21"/>
        </w:rPr>
        <w:t xml:space="preserve">Meneveau C., Katz J. Scale-invariance and turbulence models for large-eddy simulation // Annu. Rev. Fluid Mech. 2000. V. 32. P. 1–32.</w:t>
      </w:r>
    </w:p>
    <w:p>
      <w:pPr>
        <w:spacing w:after="60" w:line="320"/>
        <w:ind w:left="480" w:hanging="480"/>
        <w:jc w:val="left"/>
      </w:pPr>
      <w:r>
        <w:rPr>
          <w:rFonts w:ascii="Times New Roman" w:eastAsia="Times New Roman" w:hAnsi="Times New Roman"/>
          <w:color w:val="000000"/>
          <w:sz w:val="21"/>
          <w:szCs w:val="21"/>
        </w:rPr>
        <w:t xml:space="preserve">Sreenivasan K. R. On the universality of the Kolmogorov constant // Phys. Fluids. 1995. V. 7. P. 2778–2784.</w:t>
      </w:r>
    </w:p>
    <w:p>
      <w:pPr>
        <w:spacing w:after="60" w:line="320"/>
        <w:ind w:left="480" w:hanging="480"/>
        <w:jc w:val="left"/>
      </w:pPr>
      <w:r>
        <w:rPr>
          <w:rFonts w:ascii="Times New Roman" w:eastAsia="Times New Roman" w:hAnsi="Times New Roman"/>
          <w:color w:val="000000"/>
          <w:sz w:val="21"/>
          <w:szCs w:val="21"/>
        </w:rPr>
        <w:t xml:space="preserve">Yeung P. K., Zhou Y. Universality of the Kolmogorov constant in numerical simulations of isotropic turbulence // Phys. Rev. E. 1997. V. 56. P. 1746–1752.</w:t>
      </w:r>
    </w:p>
    <w:p>
      <w:pPr>
        <w:spacing w:after="60" w:line="320"/>
        <w:ind w:left="480" w:hanging="480"/>
        <w:jc w:val="left"/>
      </w:pPr>
      <w:r>
        <w:rPr>
          <w:rFonts w:ascii="Times New Roman" w:eastAsia="Times New Roman" w:hAnsi="Times New Roman"/>
          <w:color w:val="000000"/>
          <w:sz w:val="21"/>
          <w:szCs w:val="21"/>
        </w:rPr>
        <w:t xml:space="preserve">Kaneda Y., Ishihara T., Yokokawa M., Itakura K., Uno A. Energy dissipation rate and energy spectrum in high resolution direct numerical simulations of turbulence in a periodic box // Phys. Fluids. 2003. V. 15. L21–L24.</w:t>
      </w:r>
    </w:p>
    <w:p>
      <w:pPr>
        <w:spacing w:after="60" w:line="320"/>
        <w:ind w:left="480" w:hanging="480"/>
        <w:jc w:val="left"/>
      </w:pPr>
      <w:r>
        <w:rPr>
          <w:rFonts w:ascii="Times New Roman" w:eastAsia="Times New Roman" w:hAnsi="Times New Roman"/>
          <w:color w:val="000000"/>
          <w:sz w:val="21"/>
          <w:szCs w:val="21"/>
        </w:rPr>
        <w:t xml:space="preserve">Ishihara T., Gotoh T., Kaneda Y. Study of high-Reynolds number isotropic turbulence by direct numerical simulation // Annu. Rev. Fluid Mech. 2009. V. 41. P. 165–180.</w:t>
      </w:r>
    </w:p>
    <w:p>
      <w:pPr>
        <w:spacing w:after="60" w:line="320"/>
        <w:ind w:left="480" w:hanging="480"/>
        <w:jc w:val="left"/>
      </w:pPr>
      <w:r>
        <w:rPr>
          <w:rFonts w:ascii="Times New Roman" w:eastAsia="Times New Roman" w:hAnsi="Times New Roman"/>
          <w:color w:val="000000"/>
          <w:sz w:val="21"/>
          <w:szCs w:val="21"/>
        </w:rPr>
        <w:t xml:space="preserve">Grant H. L., Stewart R. W., Moilliet A. Turbulence spectra from a tidal channel // J. Fluid Mech. 1962. V. 12. P. 241–268.</w:t>
      </w:r>
    </w:p>
    <w:p>
      <w:pPr>
        <w:spacing w:after="60" w:line="320"/>
        <w:ind w:left="480" w:hanging="480"/>
        <w:jc w:val="left"/>
      </w:pPr>
      <w:r>
        <w:rPr>
          <w:rFonts w:ascii="Times New Roman" w:eastAsia="Times New Roman" w:hAnsi="Times New Roman"/>
          <w:color w:val="000000"/>
          <w:sz w:val="21"/>
          <w:szCs w:val="21"/>
        </w:rPr>
        <w:t xml:space="preserve">Champagne F. H. The fine-scale structure of the turbulent velocity field // J. Fluid Mech. 1978. V. 86. P. 67–108.</w:t>
      </w:r>
    </w:p>
    <w:p>
      <w:pPr>
        <w:spacing w:after="60" w:line="320"/>
        <w:ind w:left="480" w:hanging="480"/>
        <w:jc w:val="left"/>
      </w:pPr>
      <w:r>
        <w:rPr>
          <w:rFonts w:ascii="Times New Roman" w:eastAsia="Times New Roman" w:hAnsi="Times New Roman"/>
          <w:color w:val="000000"/>
          <w:sz w:val="21"/>
          <w:szCs w:val="21"/>
        </w:rPr>
        <w:t xml:space="preserve">Gledzer E. B. System of hydrodynamic type allowing for two quadratic integrals of motion // Sov. Phys. Dokl. 1973. V. 18. P. 216–217.</w:t>
      </w:r>
    </w:p>
    <w:p>
      <w:pPr>
        <w:spacing w:after="60" w:line="320"/>
        <w:ind w:left="480" w:hanging="480"/>
        <w:jc w:val="left"/>
      </w:pPr>
      <w:r>
        <w:rPr>
          <w:rFonts w:ascii="Times New Roman" w:eastAsia="Times New Roman" w:hAnsi="Times New Roman"/>
          <w:color w:val="000000"/>
          <w:sz w:val="21"/>
          <w:szCs w:val="21"/>
        </w:rPr>
        <w:t xml:space="preserve">Yamada M., Ohkitani K. Lyapunov spectrum of a chaotic model of three-dimensional turbulence // J. Phys. Soc. Jpn. 1987. V. 56. P. 4210–4213.</w:t>
      </w:r>
    </w:p>
    <w:p>
      <w:pPr>
        <w:spacing w:after="60" w:line="320"/>
        <w:ind w:left="480" w:hanging="480"/>
        <w:jc w:val="left"/>
      </w:pPr>
      <w:r>
        <w:rPr>
          <w:rFonts w:ascii="Times New Roman" w:eastAsia="Times New Roman" w:hAnsi="Times New Roman"/>
          <w:color w:val="000000"/>
          <w:sz w:val="21"/>
          <w:szCs w:val="21"/>
        </w:rPr>
        <w:t xml:space="preserve">L'vov V. S., Podivilov E., Stepanov A., Bloom-Garden I., Frisch U. Improved shell model of turbulence // Phys. Rev. E. 1998. V. 58. P. 4146–4157.</w:t>
      </w:r>
    </w:p>
    <w:p>
      <w:pPr>
        <w:spacing w:after="60" w:line="320"/>
        <w:ind w:left="480" w:hanging="480"/>
        <w:jc w:val="left"/>
      </w:pPr>
      <w:r>
        <w:rPr>
          <w:rFonts w:ascii="Times New Roman" w:eastAsia="Times New Roman" w:hAnsi="Times New Roman"/>
          <w:color w:val="000000"/>
          <w:sz w:val="21"/>
          <w:szCs w:val="21"/>
        </w:rPr>
        <w:t xml:space="preserve">Biferale L. Shell models of energy cascade in turbulence // Annu. Rev. Fluid Mech. 2003. V. 35. P. 441–468.</w:t>
      </w:r>
    </w:p>
    <w:p>
      <w:pPr>
        <w:spacing w:after="60" w:line="320"/>
        <w:ind w:left="480" w:hanging="480"/>
        <w:jc w:val="left"/>
      </w:pPr>
      <w:r>
        <w:rPr>
          <w:rFonts w:ascii="Times New Roman" w:eastAsia="Times New Roman" w:hAnsi="Times New Roman"/>
          <w:color w:val="000000"/>
          <w:sz w:val="21"/>
          <w:szCs w:val="21"/>
        </w:rPr>
        <w:t xml:space="preserve">Ditlevsen P. D. Turbulence and Shell Models. Cambridge University Press, 2011.</w:t>
      </w:r>
    </w:p>
    <w:p>
      <w:pPr>
        <w:spacing w:after="60" w:line="320"/>
        <w:ind w:left="480" w:hanging="480"/>
        <w:jc w:val="left"/>
      </w:pPr>
      <w:r>
        <w:rPr>
          <w:rFonts w:ascii="Times New Roman" w:eastAsia="Times New Roman" w:hAnsi="Times New Roman"/>
          <w:color w:val="000000"/>
          <w:sz w:val="21"/>
          <w:szCs w:val="21"/>
        </w:rPr>
        <w:t xml:space="preserve">Porte-Agel F., Meneveau C., Parlange M. B. A scale-dependent dynamic model for large-eddy simulation // J. Fluid Mech. 2000. V. 415. P. 261–284.</w:t>
      </w:r>
    </w:p>
    <w:p>
      <w:pPr>
        <w:spacing w:after="60" w:line="320"/>
        <w:ind w:left="480" w:hanging="480"/>
        <w:jc w:val="left"/>
      </w:pPr>
      <w:r>
        <w:rPr>
          <w:rFonts w:ascii="Times New Roman" w:eastAsia="Times New Roman" w:hAnsi="Times New Roman"/>
          <w:color w:val="000000"/>
          <w:sz w:val="21"/>
          <w:szCs w:val="21"/>
        </w:rPr>
        <w:t xml:space="preserve">Vreman A. W. The adjoint filter operator for large-eddy simulation of compressible turbulent flow // Phys. Fluids. 2004. V. 16. P. 2012–2018.</w:t>
      </w:r>
    </w:p>
    <w:p>
      <w:pPr>
        <w:spacing w:after="60" w:line="320"/>
        <w:ind w:left="480" w:hanging="480"/>
        <w:jc w:val="left"/>
      </w:pPr>
      <w:r>
        <w:rPr>
          <w:rFonts w:ascii="Times New Roman" w:eastAsia="Times New Roman" w:hAnsi="Times New Roman"/>
          <w:color w:val="000000"/>
          <w:sz w:val="21"/>
          <w:szCs w:val="21"/>
        </w:rPr>
        <w:t xml:space="preserve">Silvis M. H., Remmerswaal R. A., Verstappen R. Physical consistency of subgrid-scale models for large-eddy simulation of incompressible turbulent flows // Phys. Fluids. 2016. V. 28. 015105.</w:t>
      </w:r>
    </w:p>
    <w:p>
      <w:pPr>
        <w:spacing w:after="60" w:line="320"/>
        <w:ind w:left="480" w:hanging="480"/>
        <w:jc w:val="left"/>
      </w:pPr>
      <w:r>
        <w:rPr>
          <w:rFonts w:ascii="Times New Roman" w:eastAsia="Times New Roman" w:hAnsi="Times New Roman"/>
          <w:color w:val="000000"/>
          <w:sz w:val="21"/>
          <w:szCs w:val="21"/>
        </w:rPr>
        <w:t xml:space="preserve">Buaria D., Pumir A., Bodenschatz E., Yeung P. K. Extreme velocity gradients in turbulent flows // New J. Phys. 2022. V. 24. 013007.</w:t>
      </w:r>
    </w:p>
    <w:p>
      <w:pPr>
        <w:spacing w:after="60" w:line="320"/>
        <w:ind w:left="480" w:hanging="480"/>
        <w:jc w:val="left"/>
      </w:pPr>
      <w:r>
        <w:rPr>
          <w:rFonts w:ascii="Times New Roman" w:eastAsia="Times New Roman" w:hAnsi="Times New Roman"/>
          <w:color w:val="000000"/>
          <w:sz w:val="21"/>
          <w:szCs w:val="21"/>
        </w:rPr>
        <w:t xml:space="preserve">Leray J. Essai sur le mouvement d'un fluide visqueux emplissant l'espace // Acta Math. 1934. V. 63. P. 193-248.</w:t>
      </w:r>
    </w:p>
    <w:p>
      <w:pPr>
        <w:spacing w:after="60" w:line="320"/>
        <w:ind w:left="480" w:hanging="480"/>
        <w:jc w:val="left"/>
      </w:pPr>
      <w:r>
        <w:rPr>
          <w:rFonts w:ascii="Times New Roman" w:eastAsia="Times New Roman" w:hAnsi="Times New Roman"/>
          <w:color w:val="000000"/>
          <w:sz w:val="21"/>
          <w:szCs w:val="21"/>
        </w:rPr>
        <w:t xml:space="preserve">Ладыженская О. А. Шестая проблема тысячелетия: что уже известно // Усп. мат. наук. 2003. Т. 58. Вып. 2. С. 165-182.</w:t>
      </w:r>
    </w:p>
    <w:p>
      <w:pPr>
        <w:spacing w:after="60" w:line="320"/>
        <w:ind w:left="480" w:hanging="480"/>
        <w:jc w:val="left"/>
      </w:pPr>
      <w:r>
        <w:rPr>
          <w:rFonts w:ascii="Times New Roman" w:eastAsia="Times New Roman" w:hAnsi="Times New Roman"/>
          <w:color w:val="000000"/>
          <w:sz w:val="21"/>
          <w:szCs w:val="21"/>
        </w:rPr>
        <w:t xml:space="preserve">Ладыженская О. А. О единственности и глобальной оцениваемости решений уравнений Навье-Стокса // Докл. АН СССР. 1967. Т. 175. С. 267-270.</w:t>
      </w:r>
    </w:p>
    <w:p>
      <w:pPr>
        <w:spacing w:after="60" w:line="320"/>
        <w:ind w:left="480" w:hanging="480"/>
        <w:jc w:val="left"/>
      </w:pPr>
      <w:r>
        <w:rPr>
          <w:rFonts w:ascii="Times New Roman" w:eastAsia="Times New Roman" w:hAnsi="Times New Roman"/>
          <w:color w:val="000000"/>
          <w:sz w:val="21"/>
          <w:szCs w:val="21"/>
        </w:rPr>
        <w:t xml:space="preserve">Prodi G. Un teorema di unicità per le equazioni di Navier-Stokes // Ann. Mat. Pura Appl. 1959. V. 48. P. 173-182.</w:t>
      </w:r>
    </w:p>
    <w:p>
      <w:pPr>
        <w:spacing w:after="60" w:line="320"/>
        <w:ind w:left="480" w:hanging="480"/>
        <w:jc w:val="left"/>
      </w:pPr>
      <w:r>
        <w:rPr>
          <w:rFonts w:ascii="Times New Roman" w:eastAsia="Times New Roman" w:hAnsi="Times New Roman"/>
          <w:color w:val="000000"/>
          <w:sz w:val="21"/>
          <w:szCs w:val="21"/>
        </w:rPr>
        <w:t xml:space="preserve">Serrin J. On the interior regularity of weak solutions of the Navier-Stokes equations // Arch. Ration. Mech. Anal. 1962. V. 8. P. 187-195.</w:t>
      </w:r>
    </w:p>
    <w:p>
      <w:pPr>
        <w:spacing w:after="60" w:line="320"/>
        <w:ind w:left="480" w:hanging="480"/>
        <w:jc w:val="left"/>
      </w:pPr>
      <w:r>
        <w:rPr>
          <w:rFonts w:ascii="Times New Roman" w:eastAsia="Times New Roman" w:hAnsi="Times New Roman"/>
          <w:color w:val="000000"/>
          <w:sz w:val="21"/>
          <w:szCs w:val="21"/>
        </w:rPr>
        <w:t xml:space="preserve">Caffarelli L., Kohn R., Nirenberg L. Partial regularity of suitable weak solutions of the Navier-Stokes equations // Comm. Pure Appl. Math. 1982. V. 35. P. 771-831.</w:t>
      </w:r>
    </w:p>
    <w:p>
      <w:pPr>
        <w:spacing w:after="60" w:line="320"/>
        <w:ind w:left="480" w:hanging="480"/>
        <w:jc w:val="left"/>
      </w:pPr>
      <w:r>
        <w:rPr>
          <w:rFonts w:ascii="Times New Roman" w:eastAsia="Times New Roman" w:hAnsi="Times New Roman"/>
          <w:color w:val="000000"/>
          <w:sz w:val="21"/>
          <w:szCs w:val="21"/>
        </w:rPr>
        <w:t xml:space="preserve">Lin F. H. A new proof of the Caffarelli-Kohn-Nirenberg theorem // Comm. Pure Appl. Math. 1986. V. 39. P. 273-292.</w:t>
      </w:r>
    </w:p>
    <w:p>
      <w:pPr>
        <w:spacing w:after="60" w:line="320"/>
        <w:ind w:left="480" w:hanging="480"/>
        <w:jc w:val="left"/>
      </w:pPr>
      <w:r>
        <w:rPr>
          <w:rFonts w:ascii="Times New Roman" w:eastAsia="Times New Roman" w:hAnsi="Times New Roman"/>
          <w:color w:val="000000"/>
          <w:sz w:val="21"/>
          <w:szCs w:val="21"/>
        </w:rPr>
        <w:t xml:space="preserve">Beale J. T., Kato T., Majda A. Remarks on the breakdown of smooth solutions for the 3-D Euler equations // Comm. Math. Phys. 1984. V. 94. P. 61-66.</w:t>
      </w:r>
    </w:p>
    <w:p>
      <w:pPr>
        <w:spacing w:after="60" w:line="320"/>
        <w:ind w:left="480" w:hanging="480"/>
        <w:jc w:val="left"/>
      </w:pPr>
      <w:r>
        <w:rPr>
          <w:rFonts w:ascii="Times New Roman" w:eastAsia="Times New Roman" w:hAnsi="Times New Roman"/>
          <w:color w:val="000000"/>
          <w:sz w:val="21"/>
          <w:szCs w:val="21"/>
        </w:rPr>
        <w:t xml:space="preserve">Constantin P., Fefferman C. Direction of vorticity and the problem of global regularity for the Navier-Stokes equations // Indiana Univ. Math. J. 1993. V. 42. P. 775-789.</w:t>
      </w:r>
    </w:p>
    <w:p>
      <w:pPr>
        <w:spacing w:after="60" w:line="320"/>
        <w:ind w:left="480" w:hanging="480"/>
        <w:jc w:val="left"/>
      </w:pPr>
      <w:r>
        <w:rPr>
          <w:rFonts w:ascii="Times New Roman" w:eastAsia="Times New Roman" w:hAnsi="Times New Roman"/>
          <w:color w:val="000000"/>
          <w:sz w:val="21"/>
          <w:szCs w:val="21"/>
        </w:rPr>
        <w:t xml:space="preserve">Ладыженская О. А., Серёгин Г. А. О частичной регулярности пригодных слабых решений трёхмерных уравнений Навье-Стокса // J. Math. Fluid Mech. 1999. V. 1. P. 356-387.</w:t>
      </w:r>
    </w:p>
    <w:p>
      <w:pPr>
        <w:spacing w:after="60" w:line="320"/>
        <w:ind w:left="480" w:hanging="480"/>
        <w:jc w:val="left"/>
      </w:pPr>
      <w:r>
        <w:rPr>
          <w:rFonts w:ascii="Times New Roman" w:eastAsia="Times New Roman" w:hAnsi="Times New Roman"/>
          <w:color w:val="000000"/>
          <w:sz w:val="21"/>
          <w:szCs w:val="21"/>
        </w:rPr>
        <w:t xml:space="preserve">Rípamonti M. F., Seregin G. A. Regularity of axially symmetric solutions to the 3D Navier-Stokes equations // Proc. Steklov Inst. Math. 2013. V. 283. P. 121-132.</w:t>
      </w:r>
    </w:p>
    <w:p>
      <w:pPr>
        <w:spacing w:after="60" w:line="320"/>
        <w:ind w:left="480" w:hanging="480"/>
        <w:jc w:val="left"/>
      </w:pPr>
      <w:r>
        <w:rPr>
          <w:rFonts w:ascii="Times New Roman" w:eastAsia="Times New Roman" w:hAnsi="Times New Roman"/>
          <w:color w:val="000000"/>
          <w:sz w:val="21"/>
          <w:szCs w:val="21"/>
        </w:rPr>
        <w:t xml:space="preserve">Doering C. R., Gibbon J. D. Applied Analysis of the Navier-Stokes Equations. Cambridge University Press, 1995.</w:t>
      </w:r>
    </w:p>
    <w:p>
      <w:pPr>
        <w:spacing w:after="60" w:line="320"/>
        <w:ind w:left="480" w:hanging="480"/>
        <w:jc w:val="left"/>
      </w:pPr>
      <w:r>
        <w:rPr>
          <w:rFonts w:ascii="Times New Roman" w:eastAsia="Times New Roman" w:hAnsi="Times New Roman"/>
          <w:color w:val="000000"/>
          <w:sz w:val="21"/>
          <w:szCs w:val="21"/>
        </w:rPr>
        <w:t xml:space="preserve">Foias C., Manley O., Rosa R., Temam R. Navier-Stokes Equations and Turbulence. Cambridge University Press, 2001.</w:t>
      </w:r>
    </w:p>
    <w:p>
      <w:pPr>
        <w:spacing w:after="60" w:line="320"/>
        <w:ind w:left="480" w:hanging="480"/>
        <w:jc w:val="left"/>
      </w:pPr>
      <w:r>
        <w:rPr>
          <w:rFonts w:ascii="Times New Roman" w:eastAsia="Times New Roman" w:hAnsi="Times New Roman"/>
          <w:color w:val="000000"/>
          <w:sz w:val="21"/>
          <w:szCs w:val="21"/>
        </w:rPr>
        <w:t xml:space="preserve">Tao T. Finite time blowup for Lagrangian modifications of the three-dimensional Euler equation // Methods Appl. Anal. 2016. V. 23. P. 165-176.</w:t>
      </w:r>
    </w:p>
    <w:p>
      <w:pPr>
        <w:spacing w:after="60" w:line="320"/>
        <w:ind w:left="480" w:hanging="480"/>
        <w:jc w:val="left"/>
      </w:pPr>
      <w:r>
        <w:rPr>
          <w:rFonts w:ascii="Times New Roman" w:eastAsia="Times New Roman" w:hAnsi="Times New Roman"/>
          <w:color w:val="000000"/>
          <w:sz w:val="21"/>
          <w:szCs w:val="21"/>
        </w:rPr>
        <w:t xml:space="preserve">Colombo M., Haffter D. Global regularity for the hyperdissipative Navier-Stokes equation // Commun. Math. Phys. 2018. V. 358. P. 193-208.</w:t>
      </w:r>
    </w:p>
    <w:p>
      <w:pPr>
        <w:spacing w:after="60" w:line="320"/>
        <w:ind w:left="480" w:hanging="480"/>
        <w:jc w:val="left"/>
      </w:pPr>
      <w:r>
        <w:rPr>
          <w:rFonts w:ascii="Times New Roman" w:eastAsia="Times New Roman" w:hAnsi="Times New Roman"/>
          <w:color w:val="000000"/>
          <w:sz w:val="21"/>
          <w:szCs w:val="21"/>
        </w:rPr>
        <w:t xml:space="preserve">Brachet M., Meiron D. I., Orszag S. A., Nickel B. G., Morf R. H., Frisch U. Small-scale structure of the Taylor-Green vortex // J. Fluid Mech. 1983. V. 130. P. 411-452.</w:t>
      </w:r>
    </w:p>
    <w:p>
      <w:pPr>
        <w:spacing w:after="60" w:line="320"/>
        <w:ind w:left="480" w:hanging="480"/>
        <w:jc w:val="left"/>
      </w:pPr>
      <w:r>
        <w:rPr>
          <w:rFonts w:ascii="Times New Roman" w:eastAsia="Times New Roman" w:hAnsi="Times New Roman"/>
          <w:color w:val="000000"/>
          <w:sz w:val="21"/>
          <w:szCs w:val="21"/>
        </w:rPr>
        <w:t xml:space="preserve">wild8highlander. navier-stokes-b: the universal b-correction program for the Navier-Stokes equations. Repository, 2026.</w:t>
      </w:r>
    </w:p>
    <w:p>
      <w:pPr>
        <w:pStyle w:val="Heading1"/>
        <w:spacing w:after="240" w:before="480" w:line="360"/>
      </w:pPr>
      <w:bookmarkStart w:id="100043" w:name="_Toc100043"/>
      <w:r>
        <w:rPr>
          <w:rFonts w:ascii="Times New Roman" w:eastAsia="Times New Roman" w:hAnsi="Times New Roman"/>
          <w:b/>
          <w:bCs/>
          <w:color w:val="000000"/>
          <w:sz w:val="32"/>
          <w:szCs w:val="32"/>
        </w:rPr>
        <w:t xml:space="preserve">Приложение A. Параметры протоколов</w:t>
      </w:r>
      <w:bookmarkEnd w:id="100043"/>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871"/>
        <w:gridCol w:w="2871"/>
        <w:gridCol w:w="2871"/>
      </w:tblGrid>
      <w:tr>
        <w:trPr>
          <w:cantSplit/>
          <w:tblHeader/>
        </w:trPr>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Протокол</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Параметры</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Время счёта (2 ядра)</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P1</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таблица 23 точки C_K; 3 фильтра; 40 ширин Δ/η</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 60 с</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P2</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лог-сетка 400k точек; 3 калибровки α</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 25 с</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P3</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96³; 4 реализации; 8 (Δ, фильтр); seed 20260929</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 3.5 мин</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P4</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48³; 1600 шагов; Δt = 4·10⁻³; 24 снапшота; seed 424242</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 13 мин</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P5</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48³; 5 прогонов × 3000 IFK-шагов; Δt = 2·10⁻³; T = 6</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 10 мин</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 трек</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long double; 2·10⁶ узлов квадратуры</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 40 с</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Julia трек</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без внешних пакетов</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 10 с</w:t>
            </w:r>
          </w:p>
        </w:tc>
      </w:tr>
    </w:tbl>
    <w:p>
      <w:pPr>
        <w:spacing w:after="200" w:before="60"/>
        <w:jc w:val="center"/>
      </w:pPr>
      <w:r>
        <w:rPr>
          <w:rFonts w:ascii="Times New Roman" w:eastAsia="Times New Roman" w:hAnsi="Times New Roman"/>
          <w:i/>
          <w:iCs/>
          <w:color w:val="555555"/>
          <w:sz w:val="20"/>
          <w:szCs w:val="20"/>
        </w:rPr>
        <w:t xml:space="preserve">Таблица A.1. Параметры и стоимость протоколов.</w:t>
      </w:r>
    </w:p>
    <w:p>
      <w:pPr>
        <w:pStyle w:val="Heading1"/>
        <w:spacing w:after="240" w:before="480" w:line="360"/>
      </w:pPr>
      <w:bookmarkStart w:id="100044" w:name="_Toc100044"/>
      <w:r>
        <w:rPr>
          <w:rFonts w:ascii="Times New Roman" w:eastAsia="Times New Roman" w:hAnsi="Times New Roman"/>
          <w:b/>
          <w:bCs/>
          <w:color w:val="000000"/>
          <w:sz w:val="32"/>
          <w:szCs w:val="32"/>
        </w:rPr>
        <w:t xml:space="preserve">Приложение B. Карта конвенций и «фактор двойки»</w:t>
      </w:r>
      <w:bookmarkEnd w:id="100044"/>
    </w:p>
    <w:p>
      <w:pPr>
        <w:spacing w:after="80" w:line="360"/>
        <w:ind w:firstLine="709"/>
        <w:jc w:val="both"/>
      </w:pPr>
      <w:r>
        <w:rPr>
          <w:rFonts w:ascii="Times New Roman" w:eastAsia="Times New Roman" w:hAnsi="Times New Roman"/>
          <w:color w:val="000000"/>
          <w:sz w:val="24"/>
          <w:szCs w:val="24"/>
        </w:rPr>
        <w:t xml:space="preserve">Критический обзор литературных значений C_s требует явной фиксации конвенций. Ниже — сводка решений, принятых в этой работе; каждое проверено численно (главы 4 и 8).</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871"/>
        <w:gridCol w:w="2871"/>
        <w:gridCol w:w="2871"/>
      </w:tblGrid>
      <w:tr>
        <w:trPr>
          <w:cantSplit/>
          <w:tblHeader/>
        </w:trPr>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Вопрос</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Конвенция этой работы</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Следствие при другой конвенции</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Нормировка спектра</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∫E dk = ½⟨u²⟩ (кинетическая)</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e_shell = 2E(k); иначе ε-интеграл смещён вдвое</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Норма деформации</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|S̄|² = 2S̄_ij S̄_ij</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 сдвигается на 2^{3/4} ≈ 1.68</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Подсеточный поток</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τ_ij S̄_ij = −(C_sΔ)²|S̄|³</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лишняя двойка в знаменателе → C_s/√2</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Ширина гауссова фильтра</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G = exp(−k²Δ²/24)</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при ином Δ-параметре меняется k_c</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Срез</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k_c = π/Δ</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при k_c = Δ⁻¹ диапазон C_s смещается</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Третьи моменты</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⟨L_ij S̄_ij⟩ = 0 у гауссовых</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a priori C_s на синтетике — шум</w:t>
            </w:r>
          </w:p>
        </w:tc>
      </w:tr>
    </w:tbl>
    <w:p>
      <w:pPr>
        <w:spacing w:after="200" w:before="60"/>
        <w:jc w:val="center"/>
      </w:pPr>
      <w:r>
        <w:rPr>
          <w:rFonts w:ascii="Times New Roman" w:eastAsia="Times New Roman" w:hAnsi="Times New Roman"/>
          <w:i/>
          <w:iCs/>
          <w:color w:val="555555"/>
          <w:sz w:val="20"/>
          <w:szCs w:val="20"/>
        </w:rPr>
        <w:t xml:space="preserve">Таблица B.1. Конвенции программы и цена их нарушения.</w:t>
      </w:r>
    </w:p>
    <w:p>
      <w:pPr>
        <w:spacing w:after="80" w:line="360"/>
        <w:ind w:firstLine="709"/>
        <w:jc w:val="both"/>
      </w:pPr>
      <w:r>
        <w:rPr>
          <w:rFonts w:ascii="Times New Roman" w:eastAsia="Times New Roman" w:hAnsi="Times New Roman"/>
          <w:color w:val="000000"/>
          <w:sz w:val="24"/>
          <w:szCs w:val="24"/>
        </w:rPr>
        <w:t xml:space="preserve">Иллюстрация цены: тот же алгебраический вывод, выполненный в «дисперсионной» конвенции оболочек вместо кинетической, даёт C_s = 0.29 вместо 0.17 — расхождение в 70 % при полном отсутствии арифметических ошибок. Все протоколы в results/ фиксируют конвенцию рядом с каждым числом.</w:t>
      </w:r>
    </w:p>
    <w:p>
      <w:pPr>
        <w:pStyle w:val="Heading1"/>
        <w:spacing w:after="240" w:before="480" w:line="360"/>
      </w:pPr>
      <w:bookmarkStart w:id="100045" w:name="_Toc100045"/>
      <w:r>
        <w:rPr>
          <w:rFonts w:ascii="Times New Roman" w:eastAsia="Times New Roman" w:hAnsi="Times New Roman"/>
          <w:b/>
          <w:bCs/>
          <w:color w:val="000000"/>
          <w:sz w:val="32"/>
          <w:szCs w:val="32"/>
        </w:rPr>
        <w:t xml:space="preserve">Приложение C. Карта кода и воспроизводимость</w:t>
      </w:r>
      <w:bookmarkEnd w:id="100045"/>
    </w:p>
    <w:p>
      <w:pPr>
        <w:spacing w:after="80" w:line="360"/>
        <w:ind w:firstLine="709"/>
        <w:jc w:val="both"/>
      </w:pPr>
      <w:r>
        <w:rPr>
          <w:rFonts w:ascii="Times New Roman" w:eastAsia="Times New Roman" w:hAnsi="Times New Roman"/>
          <w:color w:val="000000"/>
          <w:sz w:val="24"/>
          <w:szCs w:val="24"/>
        </w:rPr>
        <w:t xml:space="preserve">Каталог code/ содержит три трека: python (полная программа: sk_core.py, p1_lilly.py, p2_closures.py, p3_synthetic_apriori.py, p4_dns_les.py, p5_regularity.py, p5_crosscheck.py, figures.py, run_all.py), cpp (sk_core.hpp, p1_lilly.cpp, p2_closures.cpp, p3_apriori_cpp.cpp, p5_regularity.cpp, Makefile) и julia (sk_core.jl, p1_p2_julia.jl, p5_regularity.jl — без внешних пакетов). Полная регенерация: python3 run_all.py из code/python (~25 минут с P5), затем make run из code/cpp и julia p1_p2_julia.jl и p5_regularity.jl ../../results. Все программы детерминированы (фиксированные seed), пишут UTF-8 JSON/CSV и работают на Linux, macOS и Android (Termux).</w:t>
      </w:r>
    </w:p>
    <w:p>
      <w:pPr>
        <w:spacing w:after="80" w:line="360"/>
        <w:ind w:firstLine="709"/>
        <w:jc w:val="both"/>
      </w:pPr>
      <w:r>
        <w:rPr>
          <w:rFonts w:ascii="Times New Roman" w:eastAsia="Times New Roman" w:hAnsi="Times New Roman"/>
          <w:color w:val="000000"/>
          <w:sz w:val="24"/>
          <w:szCs w:val="24"/>
        </w:rPr>
        <w:t xml:space="preserve">Инструкция для Termux: pkg install -y python git clang make; pip install numpy matplotlib; git clone https://github.com/wild8highlander/navier-stokes-b; далее cd navier-stokes-b/research_col_smar/code/python; python3 run_all.py p1 p2 figures. Тяжёлые стадии P3/P4 при необходимости пропускаются — их протоколы уже зафиксированы в results/.</w:t>
      </w:r>
    </w:p>
    <w:sectPr>
      <w:headerReference w:type="default" r:id="rId8"/>
      <w:footerReference w:type="default" r:id="rId9"/>
      <w:type w:val="nextPage"/>
      <w:pgSz w:w="11906" w:h="16838" w:orient="portrait"/>
      <w:pgMar w:top="1440" w:right="1417" w:bottom="1440" w:left="1701"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bfac" w:sz="2" w:space="4"/>
      </w:pBdr>
      <w:jc w:val="center"/>
    </w:pPr>
    <w:r>
      <w:rPr>
        <w:rFonts w:ascii="Times New Roman" w:eastAsia="Times New Roman" w:hAnsi="Times New Roman"/>
        <w:i/>
        <w:iCs/>
        <w:color w:val="888888"/>
        <w:sz w:val="16"/>
        <w:szCs w:val="16"/>
      </w:rPr>
      <w:t xml:space="preserve">Постоянные Смагоринского и Колмогорова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bfac" w:sz="2" w:space="4"/>
      </w:pBdr>
      <w:jc w:val="center"/>
    </w:pPr>
    <w:r>
      <w:rPr>
        <w:rFonts w:ascii="Times New Roman" w:eastAsia="Times New Roman" w:hAnsi="Times New Roman"/>
        <w:i/>
        <w:iCs/>
        <w:color w:val="888888"/>
        <w:sz w:val="16"/>
        <w:szCs w:val="16"/>
      </w:rPr>
      <w:t xml:space="preserve">Постоянные Смагоринского и Колмогорова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Times New Roman" w:eastAsia="Times New Roman" w:hAnsi="Times New Roman"/>
      <w:b/>
      <w:bCs/>
      <w:color w:val="000000"/>
      <w:sz w:val="32"/>
      <w:szCs w:val="32"/>
    </w:rPr>
  </w:style>
  <w:style w:type="paragraph" w:styleId="Heading2">
    <w:name w:val="Heading 2"/>
    <w:basedOn w:val="Normal"/>
    <w:next w:val="Normal"/>
    <w:qFormat/>
    <w:pPr>
      <w:spacing w:after="160" w:before="320" w:line="360"/>
      <w:outlineLvl w:val="1"/>
    </w:pPr>
    <w:rPr>
      <w:rFonts w:ascii="Times New Roman" w:eastAsia="Times New Roman" w:hAnsi="Times New Roman"/>
      <w:b/>
      <w:bCs/>
      <w:color w:val="000000"/>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ba3315082c493e3743297386a603af820520449e.png"/><Relationship Id="rId12" Type="http://schemas.openxmlformats.org/officeDocument/2006/relationships/image" Target="media/ad9ec8933ea59c40d742be5684082866708db472.png"/><Relationship Id="rId13" Type="http://schemas.openxmlformats.org/officeDocument/2006/relationships/image" Target="media/49cecc8698504d907dcfa5f1bae90173decc6a56.png"/><Relationship Id="rId14" Type="http://schemas.openxmlformats.org/officeDocument/2006/relationships/image" Target="media/f41def7e6c5612cfda256c9172ef6c9ff87d0cd9.png"/><Relationship Id="rId15" Type="http://schemas.openxmlformats.org/officeDocument/2006/relationships/image" Target="media/053acc25724d4f9f17b9925e76f39773eecedbdb.png"/><Relationship Id="rId16" Type="http://schemas.openxmlformats.org/officeDocument/2006/relationships/image" Target="media/d8509f7993315f565509565292fcb465a896c825.png"/><Relationship Id="rId17" Type="http://schemas.openxmlformats.org/officeDocument/2006/relationships/image" Target="media/a08e010fd55e10febbf34280ac280313260f0bc2.png"/><Relationship Id="rId18" Type="http://schemas.openxmlformats.org/officeDocument/2006/relationships/image" Target="media/9f75eac10073b0e61eb414b6964a4176194d304e.png"/><Relationship Id="rId19" Type="http://schemas.openxmlformats.org/officeDocument/2006/relationships/image" Target="media/79e324506a5cbe039cea5fc75c77654a3d8c92ba.png"/><Relationship Id="rId20" Type="http://schemas.openxmlformats.org/officeDocument/2006/relationships/image" Target="media/e8e0feb1950fddbd18ee87d0ada880f1ff0b6309.png"/><Relationship Id="rId21" Type="http://schemas.openxmlformats.org/officeDocument/2006/relationships/image" Target="media/ec64e48528ded937d76db64978a7b5299b8f7ece.png"/><Relationship Id="rId22" Type="http://schemas.openxmlformats.org/officeDocument/2006/relationships/image" Target="media/edbf653bff5f9e268e4cf68830f613f07c6cde0c.png"/><Relationship Id="rId23" Type="http://schemas.openxmlformats.org/officeDocument/2006/relationships/image" Target="media/384dfb32da24ad8e2a88d4803d3213bc2515f079.png"/><Relationship Id="rId24" Type="http://schemas.openxmlformats.org/officeDocument/2006/relationships/image" Target="media/cdbee80983c6f28b1a7ba5aaf4847a517531faab.png"/><Relationship Id="rId25" Type="http://schemas.openxmlformats.org/officeDocument/2006/relationships/image" Target="media/0609120753ee79ab0a0f5a601f75db969895a89a.png"/><Relationship Id="rId26" Type="http://schemas.openxmlformats.org/officeDocument/2006/relationships/image" Target="media/1ed6ad23dc8da4b49f927d45c2a7740a3b982653.png"/><Relationship Id="rId27" Type="http://schemas.openxmlformats.org/officeDocument/2006/relationships/image" Target="media/aae181cde17c7d5d93af4bb0a8855c80cf1b31c0.png"/><Relationship Id="rId28" Type="http://schemas.openxmlformats.org/officeDocument/2006/relationships/image" Target="media/157bb43d3632d0a21f4f8ed7e1f5617fc8166ea2.png"/><Relationship Id="rId29" Type="http://schemas.openxmlformats.org/officeDocument/2006/relationships/image" Target="media/09405c092429b4794c1cfe970e983db74ebefbcf.png"/><Relationship Id="rId30" Type="http://schemas.openxmlformats.org/officeDocument/2006/relationships/image" Target="media/4f326cf256e09dd9aa9df1d748365215f6b08c59.png"/><Relationship Id="rId31" Type="http://schemas.openxmlformats.org/officeDocument/2006/relationships/image" Target="media/cd9cbcd42a8c944ebcda1b1ba663c24c3e149ee2.png"/><Relationship Id="rId32" Type="http://schemas.openxmlformats.org/officeDocument/2006/relationships/image" Target="media/33333d903214635a786550dbb20162080861b61c.png"/><Relationship Id="rId33" Type="http://schemas.openxmlformats.org/officeDocument/2006/relationships/image" Target="media/feb137d39731b450e402d35eeabf21ad70699b33.png"/><Relationship Id="rId34" Type="http://schemas.openxmlformats.org/officeDocument/2006/relationships/image" Target="media/954a0ea7591e8897d0e7b0580acd75360e296655.png"/><Relationship Id="rId35" Type="http://schemas.openxmlformats.org/officeDocument/2006/relationships/image" Target="media/b6d1c8b7b81383a05bdd0114297ff7b04b6a99ec.png"/><Relationship Id="rId36" Type="http://schemas.openxmlformats.org/officeDocument/2006/relationships/image" Target="media/1470385a6aeb3bb3302e5057d5f154c20b1d8dce.png"/><Relationship Id="rId37" Type="http://schemas.openxmlformats.org/officeDocument/2006/relationships/image" Target="media/0e49ff9c07acc20f8d276212295949b226562e21.png"/><Relationship Id="rId38" Type="http://schemas.openxmlformats.org/officeDocument/2006/relationships/image" Target="media/b388a62fc3505ae6be147795b913accb69c45f34.png"/><Relationship Id="rId39" Type="http://schemas.openxmlformats.org/officeDocument/2006/relationships/image" Target="media/ca41a9674823ca5647a32cc53419738c855a61f4.png"/><Relationship Id="rId40" Type="http://schemas.openxmlformats.org/officeDocument/2006/relationships/image" Target="media/99c7393523df2aac4b391949bdf8c737a55c2df1.png"/><Relationship Id="rId41" Type="http://schemas.openxmlformats.org/officeDocument/2006/relationships/image" Target="media/b91ea7125647268e77e6f518b111f4f2a3294734.png"/><Relationship Id="rId42" Type="http://schemas.openxmlformats.org/officeDocument/2006/relationships/image" Target="media/99bf92a23b5f79379ffdb2d7950913cc6efb696d.png"/><Relationship Id="rId43" Type="http://schemas.openxmlformats.org/officeDocument/2006/relationships/image" Target="media/afead30693d63bc608700317038de1486d98dd3c.png"/><Relationship Id="rId44" Type="http://schemas.openxmlformats.org/officeDocument/2006/relationships/image" Target="media/403f6a3b3372da9093000a19d7662494cda07dc8.png"/><Relationship Id="rId45" Type="http://schemas.openxmlformats.org/officeDocument/2006/relationships/image" Target="media/0464ae93ac9e12deabc0ec1654692b63c27c328d.png"/><Relationship Id="rId46" Type="http://schemas.openxmlformats.org/officeDocument/2006/relationships/image" Target="media/81888c78a89e694069d77c9f9c54299876e51300.png"/><Relationship Id="rId47" Type="http://schemas.openxmlformats.org/officeDocument/2006/relationships/image" Target="media/305375bf14ecda05e55f9ec2f96838812d4b8860.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Постоянные Смагоринского и Колмогорова</dc:title>
  <dc:creator>navier-stokes-b research program</dc:creator>
  <dc:description>Единая спектральная теория, замыкания и численный эксперимент</dc:description>
  <cp:lastModifiedBy>Un-named</cp:lastModifiedBy>
  <cp:revision>1</cp:revision>
  <dcterms:created xsi:type="dcterms:W3CDTF">2026-09-29T00:50:19.396Z</dcterms:created>
  <dcterms:modified xsi:type="dcterms:W3CDTF">2026-09-29T00:50:19.396Z</dcterms:modified>
</cp:coreProperties>
</file>

<file path=docProps/custom.xml><?xml version="1.0" encoding="utf-8"?>
<Properties xmlns="http://schemas.openxmlformats.org/officeDocument/2006/custom-properties" xmlns:vt="http://schemas.openxmlformats.org/officeDocument/2006/docPropsVTypes"/>
</file>