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drawing>
          <wp:inline xmlns:a="http://schemas.openxmlformats.org/drawingml/2006/main" xmlns:pic="http://schemas.openxmlformats.org/drawingml/2006/picture">
            <wp:extent cx="7369853" cy="10424776"/>
            <wp:docPr id="2" name="Picture 2"/>
            <wp:cNvGraphicFramePr>
              <a:graphicFrameLocks noChangeAspect="1"/>
            </wp:cNvGraphicFramePr>
            <a:graphic>
              <a:graphicData uri="http://schemas.openxmlformats.org/drawingml/2006/picture">
                <pic:pic>
                  <pic:nvPicPr>
                    <pic:cNvPr id="0" name="cover_M01_RU.png"/>
                    <pic:cNvPicPr/>
                  </pic:nvPicPr>
                  <pic:blipFill>
                    <a:blip r:embed="rId23"/>
                    <a:stretch>
                      <a:fillRect/>
                    </a:stretch>
                  </pic:blipFill>
                  <pic:spPr>
                    <a:xfrm>
                      <a:off x="0" y="0"/>
                      <a:ext cx="7369853" cy="10424776"/>
                    </a:xfrm>
                    <a:prstGeom prst="rect"/>
                  </pic:spPr>
                </pic:pic>
              </a:graphicData>
            </a:graphic>
          </wp:inline>
        </w:drawing>
      </w:r>
    </w:p>
    <w:p>
      <w:pPr>
        <w:spacing w:before="0" w:after="0"/>
      </w:pPr>
      <w:r>
        <w:rPr>
          <w:sz w:val="4"/>
        </w:rPr>
        <w:br w:type="page"/>
      </w:r>
    </w:p>
    <w:p>
      <w:pPr>
        <w:sectPr>
          <w:footerReference w:type="default" r:id="rId24"/>
          <w:pgSz w:w="11906" w:h="16838" w:orient="portrait"/>
          <w:pgMar w:top="0" w:right="0" w:bottom="0" w:left="0" w:header="708" w:footer="708" w:gutter="0"/>
          <w:pgNumType/>
          <w:docGrid w:linePitch="360"/>
        </w:sectPr>
      </w:pPr>
    </w:p>
    <w:p>
      <w:pPr>
        <w:shd w:fill="FBF6E8" w:val="clear"/>
        <w:spacing w:after="360" w:before="480"/>
        <w:jc w:val="center"/>
      </w:pPr>
      <w:r>
        <w:rPr>
          <w:rFonts w:ascii="Times New Roman" w:cs="Times New Roman" w:eastAsia="Times New Roman" w:hAnsi="Times New Roman"/>
          <w:b/>
          <w:color w:val="0A9B72"/>
          <w:sz w:val="32"/>
          <w:szCs w:val="32"/>
        </w:rPr>
        <w:t xml:space="preserve">АННОТАЦИЯ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Настоящая монография посвящена систематическому исследованию применимости случайной матричной теории (СМТ) к анализу активаций больших языковых моделей (БЯМ). В работе развивается оригинальная методология спектрального анализа ковариационных матриц активаций, позволяющая количественно различать режимы фактической и творческой генерации текста. Основу метода составляет сравнение наблюдаемого спектра собственных значений с теоретическими предсказаниями закона Марченко—Пастура, а также анализ фазового перехода Байо—Бен Аруна—Пеше (BBP), распределения Трейси—Видома и коэффициента обратного участия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генерация — как «газовая фаза» с высокой спектральной энтропией и делокализованными собственными векторами. Введена свободная энергия F = U − T·S_spec, минимумы которой соответствуют стабильным режимам генерации. Показано, что ренормализационная группа (РГ) по слоям трансформера описывает поток между фазами, а β-функция РГ определяет критические точки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Экспериментальная проверка проведена на модели GPT-2 с извлечением активаций из всех слоёв трансформера. Результаты температурного сканирования, кросс-слойного анализа и исследования зависимости от длины промпта подтверждают предсказания теоретической модели. Полученные метрики — SNR, спектральная энтропия, IPR и отношение интервалов — демонстрируют статистически значимое различие между режимами генерации, что открывает возможности для создания надёжных детекторов галлюцинаций и контроля качества генерации БЯМ.</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Ключевые слова: </w:t>
      </w:r>
      <w:r>
        <w:rPr>
          <w:rFonts w:ascii="Times New Roman" w:cs="Times New Roman" w:eastAsia="Times New Roman" w:hAnsi="Times New Roman"/>
          <w:color w:val="1A1A1A"/>
          <w:sz w:val="24"/>
          <w:szCs w:val="24"/>
        </w:rPr>
        <w:t xml:space="preserve">случайная матричная теория, большие языковые модели, спектральный анализ, закон Марченко—Пастура, фазовый переход BBP, распределение Трейси—Видома, коэффициент обратного участия, спектральная энтропия, свободная энергия, ренормализационная группа, галлюцинации, активации нейронных сетей.</w:t>
      </w:r>
    </w:p>
    <w:p>
      <w:pPr>
        <w:sectPr>
          <w:pgSz w:w="11906" w:h="16838" w:orient="portrait"/>
          <w:pgMar w:top="1440" w:right="1440" w:bottom="1440" w:left="1440" w:header="708" w:footer="708" w:gutter="0"/>
          <w:pgNumType/>
          <w:docGrid w:linePitch="360"/>
        </w:sectPr>
      </w:pPr>
    </w:p>
    <w:p>
      <w:pPr>
        <w:shd w:fill="FBF6E8" w:val="clear"/>
        <w:spacing w:after="360" w:before="480"/>
        <w:jc w:val="center"/>
      </w:pPr>
      <w:r>
        <w:rPr>
          <w:rFonts w:ascii="Times New Roman" w:cs="Times New Roman" w:eastAsia="Times New Roman" w:hAnsi="Times New Roman"/>
          <w:b/>
          <w:color w:val="0A9B72"/>
          <w:sz w:val="32"/>
          <w:szCs w:val="32"/>
        </w:rPr>
        <w:t xml:space="preserve">СОДЕРЖАНИЕ</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Введение</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1.1 Актуальность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1.2 Постановка проблемы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1.3 Цели и задачи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1.4 Научная новизна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1.5 Структура работы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Теоретические основы случайной матричной теории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2.1 Исторический обзор и основные концепции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2.2 Закон Марченко—Пастура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2.3 Фазовый переход Байо—Бен Аруна—Пеше</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2.4 Распределение Трейси—Видома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2.5 Спектральный форм-фактор и отношение интервалов</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2.6 Коэффициент обратного участия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Архитектура LLM и извлечение активаций</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3.1 Архитектура трансформера и механизм внимания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3.2 Извлечение активаций из GPT-2</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19</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3.3 Формирование ковариационных матриц активаций</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3.4 Предобработка и нормализация данных</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Методология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4.1 Функция advanced_spectral_analysis</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4.2 Визуализация плотности собственных значений</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4.3 Метрики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28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4.4 Статистическая значимость и пороговые значения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Модель свободной энергии и режимы генерации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5.1 Термодинамическая аналогия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5.2 Фактическая генерация как связанное состояние</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5.3 Творческая генерация как газовая фаза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5.4 Ренормализационная группа и поток по слоям</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38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5.5 Информационно-теоретическая интерпретация</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Экспериментальные результаты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6.1 Температурное сканирование</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6.2 Перенос между слоями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6.3 Зависимость от длины промпта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6.4 Сводная таблица результатов</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48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Обсуждение</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7.1 Интерпретация результатов</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7.2 Сравнение с существующими подходами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7.3 Ограничения метода</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54</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Заключение и перспективы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8.1 Основные выводы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8.2 Вклад в науку</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8.3 Направления будущих исследований</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А: Код извлечения активаций</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59</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Б: Математические детали</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62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В: Дополнительные эксперименты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65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Список литературы</w:t>
      </w:r>
      <w:r>
        <w:rPr>
          <w:rFonts w:ascii="Times New Roman" w:cs="Times New Roman" w:eastAsia="Times New Roman" w:hAnsi="Times New Roman"/>
        </w:rPr>
        <w:t xml:space="preserve">	</w:t>
      </w:r>
      <w:r>
        <w:rPr>
          <w:rFonts w:ascii="Times New Roman" w:cs="Times New Roman" w:eastAsia="Times New Roman" w:hAnsi="Times New Roman"/>
          <w:color w:val="64748B"/>
          <w:sz w:val="22"/>
          <w:szCs w:val="22"/>
        </w:rPr>
        <w:t xml:space="preserve">68</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ГЛАВА 1. ВВЕДЕНИЕ</w:t>
            </w:r>
            <w:r>
              <w:tab/>
            </w:r>
            <w:r>
              <w:fldChar w:fldCharType="begin"/>
            </w:r>
            <w:r>
              <w:instrText xml:space="preserve"> PAGEREF _Toc100000 \h </w:instrText>
            </w:r>
            <w:r>
              <w:fldChar w:fldCharType="separate"/>
            </w:r>
            <w:r>
              <w:t>9</w:t>
            </w:r>
            <w:r>
              <w:fldChar w:fldCharType="end"/>
            </w:r>
          </w:hyperlink>
        </w:p>
        <w:p>
          <w:pPr>
            <w:pStyle w:val="11"/>
            <w:ind w:left="360"/>
            <w:tabs>
              <w:tab w:val="right" w:leader="dot" w:pos="9026"/>
            </w:tabs>
            <w:spacing w:before="120" w:after="60"/>
          </w:pPr>
          <w:hyperlink w:anchor="_Toc100001" w:history="1">
            <w:r>
              <w:rPr>
                <w:rStyle w:val="Hyperlink"/>
              </w:rPr>
              <w:t>1.1 Актуальность исследования</w:t>
            </w:r>
            <w:r>
              <w:tab/>
            </w:r>
            <w:r>
              <w:fldChar w:fldCharType="begin"/>
            </w:r>
            <w:r>
              <w:instrText xml:space="preserve"> PAGEREF _Toc100001 \h </w:instrText>
            </w:r>
            <w:r>
              <w:fldChar w:fldCharType="separate"/>
            </w:r>
            <w:r>
              <w:t>9</w:t>
            </w:r>
            <w:r>
              <w:fldChar w:fldCharType="end"/>
            </w:r>
          </w:hyperlink>
        </w:p>
        <w:p>
          <w:pPr>
            <w:pStyle w:val="11"/>
            <w:ind w:left="360"/>
            <w:tabs>
              <w:tab w:val="right" w:leader="dot" w:pos="9026"/>
            </w:tabs>
            <w:spacing w:before="120" w:after="60"/>
          </w:pPr>
          <w:hyperlink w:anchor="_Toc100002" w:history="1">
            <w:r>
              <w:rPr>
                <w:rStyle w:val="Hyperlink"/>
              </w:rPr>
              <w:t>1.2 Постановка проблемы</w:t>
            </w:r>
            <w:r>
              <w:tab/>
            </w:r>
            <w:r>
              <w:fldChar w:fldCharType="begin"/>
            </w:r>
            <w:r>
              <w:instrText xml:space="preserve"> PAGEREF _Toc100002 \h </w:instrText>
            </w:r>
            <w:r>
              <w:fldChar w:fldCharType="separate"/>
            </w:r>
            <w:r>
              <w:t>10</w:t>
            </w:r>
            <w:r>
              <w:fldChar w:fldCharType="end"/>
            </w:r>
          </w:hyperlink>
        </w:p>
        <w:p>
          <w:pPr>
            <w:pStyle w:val="11"/>
            <w:ind w:left="360"/>
            <w:tabs>
              <w:tab w:val="right" w:leader="dot" w:pos="9026"/>
            </w:tabs>
            <w:spacing w:before="120" w:after="60"/>
          </w:pPr>
          <w:hyperlink w:anchor="_Toc100003" w:history="1">
            <w:r>
              <w:rPr>
                <w:rStyle w:val="Hyperlink"/>
              </w:rPr>
              <w:t>1.3 Цели и задачи исследования</w:t>
            </w:r>
            <w:r>
              <w:tab/>
            </w:r>
            <w:r>
              <w:fldChar w:fldCharType="begin"/>
            </w:r>
            <w:r>
              <w:instrText xml:space="preserve"> PAGEREF _Toc100003 \h </w:instrText>
            </w:r>
            <w:r>
              <w:fldChar w:fldCharType="separate"/>
            </w:r>
            <w:r>
              <w:t>10</w:t>
            </w:r>
            <w:r>
              <w:fldChar w:fldCharType="end"/>
            </w:r>
          </w:hyperlink>
        </w:p>
        <w:p>
          <w:pPr>
            <w:pStyle w:val="11"/>
            <w:ind w:left="360"/>
            <w:tabs>
              <w:tab w:val="right" w:leader="dot" w:pos="9026"/>
            </w:tabs>
            <w:spacing w:before="120" w:after="60"/>
          </w:pPr>
          <w:hyperlink w:anchor="_Toc100004" w:history="1">
            <w:r>
              <w:rPr>
                <w:rStyle w:val="Hyperlink"/>
              </w:rPr>
              <w:t>1.4 Научная новизна</w:t>
            </w:r>
            <w:r>
              <w:tab/>
            </w:r>
            <w:r>
              <w:fldChar w:fldCharType="begin"/>
            </w:r>
            <w:r>
              <w:instrText xml:space="preserve"> PAGEREF _Toc100004 \h </w:instrText>
            </w:r>
            <w:r>
              <w:fldChar w:fldCharType="separate"/>
            </w:r>
            <w:r>
              <w:t>11</w:t>
            </w:r>
            <w:r>
              <w:fldChar w:fldCharType="end"/>
            </w:r>
          </w:hyperlink>
        </w:p>
        <w:p>
          <w:pPr>
            <w:pStyle w:val="11"/>
            <w:ind w:left="360"/>
            <w:tabs>
              <w:tab w:val="right" w:leader="dot" w:pos="9026"/>
            </w:tabs>
            <w:spacing w:before="120" w:after="60"/>
          </w:pPr>
          <w:hyperlink w:anchor="_Toc100005" w:history="1">
            <w:r>
              <w:rPr>
                <w:rStyle w:val="Hyperlink"/>
              </w:rPr>
              <w:t>1.5 Структура работы</w:t>
            </w:r>
            <w:r>
              <w:tab/>
            </w:r>
            <w:r>
              <w:fldChar w:fldCharType="begin"/>
            </w:r>
            <w:r>
              <w:instrText xml:space="preserve"> PAGEREF _Toc100005 \h </w:instrText>
            </w:r>
            <w:r>
              <w:fldChar w:fldCharType="separate"/>
            </w:r>
            <w:r>
              <w:t>11</w:t>
            </w:r>
            <w:r>
              <w:fldChar w:fldCharType="end"/>
            </w:r>
          </w:hyperlink>
        </w:p>
        <w:p>
          <w:pPr>
            <w:pStyle w:val="9"/>
            <w:tabs>
              <w:tab w:val="right" w:leader="dot" w:pos="9026"/>
            </w:tabs>
            <w:spacing w:before="120" w:after="60"/>
          </w:pPr>
          <w:hyperlink w:anchor="_Toc100006" w:history="1">
            <w:r>
              <w:rPr>
                <w:rStyle w:val="Hyperlink"/>
              </w:rPr>
              <w:t>ГЛАВА 2. ТЕОРЕТИЧЕСКИЕ ОСНОВЫ СЛУЧАЙНОЙ МАТРИЧНОЙ ТЕОРИИ</w:t>
            </w:r>
            <w:r>
              <w:tab/>
            </w:r>
            <w:r>
              <w:fldChar w:fldCharType="begin"/>
            </w:r>
            <w:r>
              <w:instrText xml:space="preserve"> PAGEREF _Toc100006 \h </w:instrText>
            </w:r>
            <w:r>
              <w:fldChar w:fldCharType="separate"/>
            </w:r>
            <w:r>
              <w:t>12</w:t>
            </w:r>
            <w:r>
              <w:fldChar w:fldCharType="end"/>
            </w:r>
          </w:hyperlink>
        </w:p>
        <w:p>
          <w:pPr>
            <w:pStyle w:val="11"/>
            <w:ind w:left="360"/>
            <w:tabs>
              <w:tab w:val="right" w:leader="dot" w:pos="9026"/>
            </w:tabs>
            <w:spacing w:before="120" w:after="60"/>
          </w:pPr>
          <w:hyperlink w:anchor="_Toc100007" w:history="1">
            <w:r>
              <w:rPr>
                <w:rStyle w:val="Hyperlink"/>
              </w:rPr>
              <w:t>2.1 Исторический обзор и основные концепции</w:t>
            </w:r>
            <w:r>
              <w:tab/>
            </w:r>
            <w:r>
              <w:fldChar w:fldCharType="begin"/>
            </w:r>
            <w:r>
              <w:instrText xml:space="preserve"> PAGEREF _Toc100007 \h </w:instrText>
            </w:r>
            <w:r>
              <w:fldChar w:fldCharType="separate"/>
            </w:r>
            <w:r>
              <w:t>12</w:t>
            </w:r>
            <w:r>
              <w:fldChar w:fldCharType="end"/>
            </w:r>
          </w:hyperlink>
        </w:p>
        <w:p>
          <w:pPr>
            <w:pStyle w:val="11"/>
            <w:ind w:left="360"/>
            <w:tabs>
              <w:tab w:val="right" w:leader="dot" w:pos="9026"/>
            </w:tabs>
            <w:spacing w:before="120" w:after="60"/>
          </w:pPr>
          <w:hyperlink w:anchor="_Toc100008" w:history="1">
            <w:r>
              <w:rPr>
                <w:rStyle w:val="Hyperlink"/>
              </w:rPr>
              <w:t>2.2 Закон Марченко—Пастура</w:t>
            </w:r>
            <w:r>
              <w:tab/>
            </w:r>
            <w:r>
              <w:fldChar w:fldCharType="begin"/>
            </w:r>
            <w:r>
              <w:instrText xml:space="preserve"> PAGEREF _Toc100008 \h </w:instrText>
            </w:r>
            <w:r>
              <w:fldChar w:fldCharType="separate"/>
            </w:r>
            <w:r>
              <w:t>13</w:t>
            </w:r>
            <w:r>
              <w:fldChar w:fldCharType="end"/>
            </w:r>
          </w:hyperlink>
        </w:p>
        <w:p>
          <w:pPr>
            <w:pStyle w:val="11"/>
            <w:ind w:left="360"/>
            <w:tabs>
              <w:tab w:val="right" w:leader="dot" w:pos="9026"/>
            </w:tabs>
            <w:spacing w:before="120" w:after="60"/>
          </w:pPr>
          <w:hyperlink w:anchor="_Toc100009" w:history="1">
            <w:r>
              <w:rPr>
                <w:rStyle w:val="Hyperlink"/>
              </w:rPr>
              <w:t>2.3 Фазовый переход Байо—Бен Аруна—Пеше (BBP)</w:t>
            </w:r>
            <w:r>
              <w:tab/>
            </w:r>
            <w:r>
              <w:fldChar w:fldCharType="begin"/>
            </w:r>
            <w:r>
              <w:instrText xml:space="preserve"> PAGEREF _Toc100009 \h </w:instrText>
            </w:r>
            <w:r>
              <w:fldChar w:fldCharType="separate"/>
            </w:r>
            <w:r>
              <w:t>14</w:t>
            </w:r>
            <w:r>
              <w:fldChar w:fldCharType="end"/>
            </w:r>
          </w:hyperlink>
        </w:p>
        <w:p>
          <w:pPr>
            <w:pStyle w:val="11"/>
            <w:ind w:left="360"/>
            <w:tabs>
              <w:tab w:val="right" w:leader="dot" w:pos="9026"/>
            </w:tabs>
            <w:spacing w:before="120" w:after="60"/>
          </w:pPr>
          <w:hyperlink w:anchor="_Toc100010" w:history="1">
            <w:r>
              <w:rPr>
                <w:rStyle w:val="Hyperlink"/>
              </w:rPr>
              <w:t>2.4 Распределение Трейси—Видома</w:t>
            </w:r>
            <w:r>
              <w:tab/>
            </w:r>
            <w:r>
              <w:fldChar w:fldCharType="begin"/>
            </w:r>
            <w:r>
              <w:instrText xml:space="preserve"> PAGEREF _Toc100010 \h </w:instrText>
            </w:r>
            <w:r>
              <w:fldChar w:fldCharType="separate"/>
            </w:r>
            <w:r>
              <w:t>14</w:t>
            </w:r>
            <w:r>
              <w:fldChar w:fldCharType="end"/>
            </w:r>
          </w:hyperlink>
        </w:p>
        <w:p>
          <w:pPr>
            <w:pStyle w:val="11"/>
            <w:ind w:left="360"/>
            <w:tabs>
              <w:tab w:val="right" w:leader="dot" w:pos="9026"/>
            </w:tabs>
            <w:spacing w:before="120" w:after="60"/>
          </w:pPr>
          <w:hyperlink w:anchor="_Toc100011" w:history="1">
            <w:r>
              <w:rPr>
                <w:rStyle w:val="Hyperlink"/>
              </w:rPr>
              <w:t>2.5 Спектральный форм-фактор и отношение интервалов</w:t>
            </w:r>
            <w:r>
              <w:tab/>
            </w:r>
            <w:r>
              <w:fldChar w:fldCharType="begin"/>
            </w:r>
            <w:r>
              <w:instrText xml:space="preserve"> PAGEREF _Toc100011 \h </w:instrText>
            </w:r>
            <w:r>
              <w:fldChar w:fldCharType="separate"/>
            </w:r>
            <w:r>
              <w:t>15</w:t>
            </w:r>
            <w:r>
              <w:fldChar w:fldCharType="end"/>
            </w:r>
          </w:hyperlink>
        </w:p>
        <w:p>
          <w:pPr>
            <w:pStyle w:val="11"/>
            <w:ind w:left="360"/>
            <w:tabs>
              <w:tab w:val="right" w:leader="dot" w:pos="9026"/>
            </w:tabs>
            <w:spacing w:before="120" w:after="60"/>
          </w:pPr>
          <w:hyperlink w:anchor="_Toc100012" w:history="1">
            <w:r>
              <w:rPr>
                <w:rStyle w:val="Hyperlink"/>
              </w:rPr>
              <w:t>2.6 Коэффициент обратного участия (IPR)</w:t>
            </w:r>
            <w:r>
              <w:tab/>
            </w:r>
            <w:r>
              <w:fldChar w:fldCharType="begin"/>
            </w:r>
            <w:r>
              <w:instrText xml:space="preserve"> PAGEREF _Toc100012 \h </w:instrText>
            </w:r>
            <w:r>
              <w:fldChar w:fldCharType="separate"/>
            </w:r>
            <w:r>
              <w:t>16</w:t>
            </w:r>
            <w:r>
              <w:fldChar w:fldCharType="end"/>
            </w:r>
          </w:hyperlink>
        </w:p>
        <w:p>
          <w:pPr>
            <w:pStyle w:val="9"/>
            <w:tabs>
              <w:tab w:val="right" w:leader="dot" w:pos="9026"/>
            </w:tabs>
            <w:spacing w:before="120" w:after="60"/>
          </w:pPr>
          <w:hyperlink w:anchor="_Toc100013" w:history="1">
            <w:r>
              <w:rPr>
                <w:rStyle w:val="Hyperlink"/>
              </w:rPr>
              <w:t>ГЛАВА 3. АРХИТЕКТУРА LLM И ИЗВЛЕЧЕНИЕ АКТИВАЦИЙ</w:t>
            </w:r>
            <w:r>
              <w:tab/>
            </w:r>
            <w:r>
              <w:fldChar w:fldCharType="begin"/>
            </w:r>
            <w:r>
              <w:instrText xml:space="preserve"> PAGEREF _Toc100013 \h </w:instrText>
            </w:r>
            <w:r>
              <w:fldChar w:fldCharType="separate"/>
            </w:r>
            <w:r>
              <w:t>17</w:t>
            </w:r>
            <w:r>
              <w:fldChar w:fldCharType="end"/>
            </w:r>
          </w:hyperlink>
        </w:p>
        <w:p>
          <w:pPr>
            <w:pStyle w:val="11"/>
            <w:ind w:left="360"/>
            <w:tabs>
              <w:tab w:val="right" w:leader="dot" w:pos="9026"/>
            </w:tabs>
            <w:spacing w:before="120" w:after="60"/>
          </w:pPr>
          <w:hyperlink w:anchor="_Toc100014" w:history="1">
            <w:r>
              <w:rPr>
                <w:rStyle w:val="Hyperlink"/>
              </w:rPr>
              <w:t>3.1 Архитектура трансформера и механизм внимания</w:t>
            </w:r>
            <w:r>
              <w:tab/>
            </w:r>
            <w:r>
              <w:fldChar w:fldCharType="begin"/>
            </w:r>
            <w:r>
              <w:instrText xml:space="preserve"> PAGEREF _Toc100014 \h </w:instrText>
            </w:r>
            <w:r>
              <w:fldChar w:fldCharType="separate"/>
            </w:r>
            <w:r>
              <w:t>17</w:t>
            </w:r>
            <w:r>
              <w:fldChar w:fldCharType="end"/>
            </w:r>
          </w:hyperlink>
        </w:p>
        <w:p>
          <w:pPr>
            <w:pStyle w:val="11"/>
            <w:ind w:left="360"/>
            <w:tabs>
              <w:tab w:val="right" w:leader="dot" w:pos="9026"/>
            </w:tabs>
            <w:spacing w:before="120" w:after="60"/>
          </w:pPr>
          <w:hyperlink w:anchor="_Toc100015" w:history="1">
            <w:r>
              <w:rPr>
                <w:rStyle w:val="Hyperlink"/>
              </w:rPr>
              <w:t>3.2 Извлечение активаций из GPT-2</w:t>
            </w:r>
            <w:r>
              <w:tab/>
            </w:r>
            <w:r>
              <w:fldChar w:fldCharType="begin"/>
            </w:r>
            <w:r>
              <w:instrText xml:space="preserve"> PAGEREF _Toc100015 \h </w:instrText>
            </w:r>
            <w:r>
              <w:fldChar w:fldCharType="separate"/>
            </w:r>
            <w:r>
              <w:t>18</w:t>
            </w:r>
            <w:r>
              <w:fldChar w:fldCharType="end"/>
            </w:r>
          </w:hyperlink>
        </w:p>
        <w:p>
          <w:pPr>
            <w:pStyle w:val="11"/>
            <w:ind w:left="360"/>
            <w:tabs>
              <w:tab w:val="right" w:leader="dot" w:pos="9026"/>
            </w:tabs>
            <w:spacing w:before="120" w:after="60"/>
          </w:pPr>
          <w:hyperlink w:anchor="_Toc100016" w:history="1">
            <w:r>
              <w:rPr>
                <w:rStyle w:val="Hyperlink"/>
              </w:rPr>
              <w:t>3.3 Формирование ковариационных матриц активаций</w:t>
            </w:r>
            <w:r>
              <w:tab/>
            </w:r>
            <w:r>
              <w:fldChar w:fldCharType="begin"/>
            </w:r>
            <w:r>
              <w:instrText xml:space="preserve"> PAGEREF _Toc100016 \h </w:instrText>
            </w:r>
            <w:r>
              <w:fldChar w:fldCharType="separate"/>
            </w:r>
            <w:r>
              <w:t>19</w:t>
            </w:r>
            <w:r>
              <w:fldChar w:fldCharType="end"/>
            </w:r>
          </w:hyperlink>
        </w:p>
        <w:p>
          <w:pPr>
            <w:pStyle w:val="11"/>
            <w:ind w:left="360"/>
            <w:tabs>
              <w:tab w:val="right" w:leader="dot" w:pos="9026"/>
            </w:tabs>
            <w:spacing w:before="120" w:after="60"/>
          </w:pPr>
          <w:hyperlink w:anchor="_Toc100017" w:history="1">
            <w:r>
              <w:rPr>
                <w:rStyle w:val="Hyperlink"/>
              </w:rPr>
              <w:t>3.4 Предобработка и нормализация данных</w:t>
            </w:r>
            <w:r>
              <w:tab/>
            </w:r>
            <w:r>
              <w:fldChar w:fldCharType="begin"/>
            </w:r>
            <w:r>
              <w:instrText xml:space="preserve"> PAGEREF _Toc100017 \h </w:instrText>
            </w:r>
            <w:r>
              <w:fldChar w:fldCharType="separate"/>
            </w:r>
            <w:r>
              <w:t>19</w:t>
            </w:r>
            <w:r>
              <w:fldChar w:fldCharType="end"/>
            </w:r>
          </w:hyperlink>
        </w:p>
        <w:p>
          <w:pPr>
            <w:pStyle w:val="9"/>
            <w:tabs>
              <w:tab w:val="right" w:leader="dot" w:pos="9026"/>
            </w:tabs>
            <w:spacing w:before="120" w:after="60"/>
          </w:pPr>
          <w:hyperlink w:anchor="_Toc100018" w:history="1">
            <w:r>
              <w:rPr>
                <w:rStyle w:val="Hyperlink"/>
              </w:rPr>
              <w:t>ГЛАВА 4. МЕТОДОЛОГИЯ СПЕКТРАЛЬНОГО АНАЛИЗА</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4.1 Функция advanced_spectral_analysis</w:t>
            </w:r>
            <w:r>
              <w:tab/>
            </w:r>
            <w:r>
              <w:fldChar w:fldCharType="begin"/>
            </w:r>
            <w:r>
              <w:instrText xml:space="preserve"> PAGEREF _Toc100019 \h </w:instrText>
            </w:r>
            <w:r>
              <w:fldChar w:fldCharType="separate"/>
            </w:r>
            <w:r>
              <w:t>20</w:t>
            </w:r>
            <w:r>
              <w:fldChar w:fldCharType="end"/>
            </w:r>
          </w:hyperlink>
        </w:p>
        <w:p>
          <w:pPr>
            <w:pStyle w:val="11"/>
            <w:ind w:left="360"/>
            <w:tabs>
              <w:tab w:val="right" w:leader="dot" w:pos="9026"/>
            </w:tabs>
            <w:spacing w:before="120" w:after="60"/>
          </w:pPr>
          <w:hyperlink w:anchor="_Toc100020" w:history="1">
            <w:r>
              <w:rPr>
                <w:rStyle w:val="Hyperlink"/>
              </w:rPr>
              <w:t>4.2 Визуализация плотности собственных значений</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4.3 Метрики спектрального анализа</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4.4 Статистическая значимость и пороговые значения</w:t>
            </w:r>
            <w:r>
              <w:tab/>
            </w:r>
            <w:r>
              <w:fldChar w:fldCharType="begin"/>
            </w:r>
            <w:r>
              <w:instrText xml:space="preserve"> PAGEREF _Toc100022 \h </w:instrText>
            </w:r>
            <w:r>
              <w:fldChar w:fldCharType="separate"/>
            </w:r>
            <w:r>
              <w:t>23</w:t>
            </w:r>
            <w:r>
              <w:fldChar w:fldCharType="end"/>
            </w:r>
          </w:hyperlink>
        </w:p>
        <w:p>
          <w:pPr>
            <w:pStyle w:val="9"/>
            <w:tabs>
              <w:tab w:val="right" w:leader="dot" w:pos="9026"/>
            </w:tabs>
            <w:spacing w:before="120" w:after="60"/>
          </w:pPr>
          <w:hyperlink w:anchor="_Toc100023" w:history="1">
            <w:r>
              <w:rPr>
                <w:rStyle w:val="Hyperlink"/>
              </w:rPr>
              <w:t>ГЛАВА 5. МОДЕЛЬ СВОБОДНОЙ ЭНЕРГИИ И РЕЖИМЫ ГЕНЕРАЦИИ</w:t>
            </w:r>
            <w:r>
              <w:tab/>
            </w:r>
            <w:r>
              <w:fldChar w:fldCharType="begin"/>
            </w:r>
            <w:r>
              <w:instrText xml:space="preserve"> PAGEREF _Toc100023 \h </w:instrText>
            </w:r>
            <w:r>
              <w:fldChar w:fldCharType="separate"/>
            </w:r>
            <w:r>
              <w:t>23</w:t>
            </w:r>
            <w:r>
              <w:fldChar w:fldCharType="end"/>
            </w:r>
          </w:hyperlink>
        </w:p>
        <w:p>
          <w:pPr>
            <w:pStyle w:val="11"/>
            <w:ind w:left="360"/>
            <w:tabs>
              <w:tab w:val="right" w:leader="dot" w:pos="9026"/>
            </w:tabs>
            <w:spacing w:before="120" w:after="60"/>
          </w:pPr>
          <w:hyperlink w:anchor="_Toc100024" w:history="1">
            <w:r>
              <w:rPr>
                <w:rStyle w:val="Hyperlink"/>
              </w:rPr>
              <w:t>5.1 Термодинамическая аналогия</w:t>
            </w:r>
            <w:r>
              <w:tab/>
            </w:r>
            <w:r>
              <w:fldChar w:fldCharType="begin"/>
            </w:r>
            <w:r>
              <w:instrText xml:space="preserve"> PAGEREF _Toc100024 \h </w:instrText>
            </w:r>
            <w:r>
              <w:fldChar w:fldCharType="separate"/>
            </w:r>
            <w:r>
              <w:t>23</w:t>
            </w:r>
            <w:r>
              <w:fldChar w:fldCharType="end"/>
            </w:r>
          </w:hyperlink>
        </w:p>
        <w:p>
          <w:pPr>
            <w:pStyle w:val="11"/>
            <w:ind w:left="360"/>
            <w:tabs>
              <w:tab w:val="right" w:leader="dot" w:pos="9026"/>
            </w:tabs>
            <w:spacing w:before="120" w:after="60"/>
          </w:pPr>
          <w:hyperlink w:anchor="_Toc100025" w:history="1">
            <w:r>
              <w:rPr>
                <w:rStyle w:val="Hyperlink"/>
              </w:rPr>
              <w:t>5.2 Фактическая генерация как связанное состояние</w:t>
            </w:r>
            <w:r>
              <w:tab/>
            </w:r>
            <w:r>
              <w:fldChar w:fldCharType="begin"/>
            </w:r>
            <w:r>
              <w:instrText xml:space="preserve"> PAGEREF _Toc100025 \h </w:instrText>
            </w:r>
            <w:r>
              <w:fldChar w:fldCharType="separate"/>
            </w:r>
            <w:r>
              <w:t>24</w:t>
            </w:r>
            <w:r>
              <w:fldChar w:fldCharType="end"/>
            </w:r>
          </w:hyperlink>
        </w:p>
        <w:p>
          <w:pPr>
            <w:pStyle w:val="11"/>
            <w:ind w:left="360"/>
            <w:tabs>
              <w:tab w:val="right" w:leader="dot" w:pos="9026"/>
            </w:tabs>
            <w:spacing w:before="120" w:after="60"/>
          </w:pPr>
          <w:hyperlink w:anchor="_Toc100026" w:history="1">
            <w:r>
              <w:rPr>
                <w:rStyle w:val="Hyperlink"/>
              </w:rPr>
              <w:t>5.3 Творческая генерация как газовая фаза</w:t>
            </w:r>
            <w:r>
              <w:tab/>
            </w:r>
            <w:r>
              <w:fldChar w:fldCharType="begin"/>
            </w:r>
            <w:r>
              <w:instrText xml:space="preserve"> PAGEREF _Toc100026 \h </w:instrText>
            </w:r>
            <w:r>
              <w:fldChar w:fldCharType="separate"/>
            </w:r>
            <w:r>
              <w:t>25</w:t>
            </w:r>
            <w:r>
              <w:fldChar w:fldCharType="end"/>
            </w:r>
          </w:hyperlink>
        </w:p>
        <w:p>
          <w:pPr>
            <w:pStyle w:val="11"/>
            <w:ind w:left="360"/>
            <w:tabs>
              <w:tab w:val="right" w:leader="dot" w:pos="9026"/>
            </w:tabs>
            <w:spacing w:before="120" w:after="60"/>
          </w:pPr>
          <w:hyperlink w:anchor="_Toc100027" w:history="1">
            <w:r>
              <w:rPr>
                <w:rStyle w:val="Hyperlink"/>
              </w:rPr>
              <w:t>5.4 Ренормализационная группа и поток по слоям</w:t>
            </w:r>
            <w:r>
              <w:tab/>
            </w:r>
            <w:r>
              <w:fldChar w:fldCharType="begin"/>
            </w:r>
            <w:r>
              <w:instrText xml:space="preserve"> PAGEREF _Toc100027 \h </w:instrText>
            </w:r>
            <w:r>
              <w:fldChar w:fldCharType="separate"/>
            </w:r>
            <w:r>
              <w:t>26</w:t>
            </w:r>
            <w:r>
              <w:fldChar w:fldCharType="end"/>
            </w:r>
          </w:hyperlink>
        </w:p>
        <w:p>
          <w:pPr>
            <w:pStyle w:val="11"/>
            <w:ind w:left="360"/>
            <w:tabs>
              <w:tab w:val="right" w:leader="dot" w:pos="9026"/>
            </w:tabs>
            <w:spacing w:before="120" w:after="60"/>
          </w:pPr>
          <w:hyperlink w:anchor="_Toc100028" w:history="1">
            <w:r>
              <w:rPr>
                <w:rStyle w:val="Hyperlink"/>
              </w:rPr>
              <w:t>5.5 Информационно-теоретическая интерпретация</w:t>
            </w:r>
            <w:r>
              <w:tab/>
            </w:r>
            <w:r>
              <w:fldChar w:fldCharType="begin"/>
            </w:r>
            <w:r>
              <w:instrText xml:space="preserve"> PAGEREF _Toc100028 \h </w:instrText>
            </w:r>
            <w:r>
              <w:fldChar w:fldCharType="separate"/>
            </w:r>
            <w:r>
              <w:t>26</w:t>
            </w:r>
            <w:r>
              <w:fldChar w:fldCharType="end"/>
            </w:r>
          </w:hyperlink>
        </w:p>
        <w:p>
          <w:pPr>
            <w:pStyle w:val="9"/>
            <w:tabs>
              <w:tab w:val="right" w:leader="dot" w:pos="9026"/>
            </w:tabs>
            <w:spacing w:before="120" w:after="60"/>
          </w:pPr>
          <w:hyperlink w:anchor="_Toc100029" w:history="1">
            <w:r>
              <w:rPr>
                <w:rStyle w:val="Hyperlink"/>
              </w:rPr>
              <w:t>ГЛАВА 6. ЭКСПЕРИМЕНТАЛЬНЫЕ РЕЗУЛЬТАТЫ</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6.1 Температурное сканирование</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spacing w:before="120" w:after="60"/>
          </w:pPr>
          <w:hyperlink w:anchor="_Toc100031" w:history="1">
            <w:r>
              <w:rPr>
                <w:rStyle w:val="Hyperlink"/>
              </w:rPr>
              <w:t>6.2 Перенос между слоями</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6.3 Зависимость от длины промпта</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spacing w:before="120" w:after="60"/>
          </w:pPr>
          <w:hyperlink w:anchor="_Toc100033" w:history="1">
            <w:r>
              <w:rPr>
                <w:rStyle w:val="Hyperlink"/>
              </w:rPr>
              <w:t>6.4 Сводная таблица результатов</w:t>
            </w:r>
            <w:r>
              <w:tab/>
            </w:r>
            <w:r>
              <w:fldChar w:fldCharType="begin"/>
            </w:r>
            <w:r>
              <w:instrText xml:space="preserve"> PAGEREF _Toc100033 \h </w:instrText>
            </w:r>
            <w:r>
              <w:fldChar w:fldCharType="separate"/>
            </w:r>
            <w:r>
              <w:t>30</w:t>
            </w:r>
            <w:r>
              <w:fldChar w:fldCharType="end"/>
            </w:r>
          </w:hyperlink>
        </w:p>
        <w:p>
          <w:pPr>
            <w:pStyle w:val="9"/>
            <w:tabs>
              <w:tab w:val="right" w:leader="dot" w:pos="9026"/>
            </w:tabs>
            <w:spacing w:before="120" w:after="60"/>
          </w:pPr>
          <w:hyperlink w:anchor="_Toc100034" w:history="1">
            <w:r>
              <w:rPr>
                <w:rStyle w:val="Hyperlink"/>
              </w:rPr>
              <w:t>ГЛАВА 7. ОБСУЖДЕНИЕ</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7.1 Интерпретация результатов</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7.2 Сравнение с существующими подходами</w:t>
            </w:r>
            <w:r>
              <w:tab/>
            </w:r>
            <w:r>
              <w:fldChar w:fldCharType="begin"/>
            </w:r>
            <w:r>
              <w:instrText xml:space="preserve"> PAGEREF _Toc100036 \h </w:instrText>
            </w:r>
            <w:r>
              <w:fldChar w:fldCharType="separate"/>
            </w:r>
            <w:r>
              <w:t>31</w:t>
            </w:r>
            <w:r>
              <w:fldChar w:fldCharType="end"/>
            </w:r>
          </w:hyperlink>
        </w:p>
        <w:p>
          <w:pPr>
            <w:pStyle w:val="11"/>
            <w:ind w:left="360"/>
            <w:tabs>
              <w:tab w:val="right" w:leader="dot" w:pos="9026"/>
            </w:tabs>
            <w:spacing w:before="120" w:after="60"/>
          </w:pPr>
          <w:hyperlink w:anchor="_Toc100037" w:history="1">
            <w:r>
              <w:rPr>
                <w:rStyle w:val="Hyperlink"/>
              </w:rPr>
              <w:t>7.3 Ограничения метода</w:t>
            </w:r>
            <w:r>
              <w:tab/>
            </w:r>
            <w:r>
              <w:fldChar w:fldCharType="begin"/>
            </w:r>
            <w:r>
              <w:instrText xml:space="preserve"> PAGEREF _Toc100037 \h </w:instrText>
            </w:r>
            <w:r>
              <w:fldChar w:fldCharType="separate"/>
            </w:r>
            <w:r>
              <w:t>32</w:t>
            </w:r>
            <w:r>
              <w:fldChar w:fldCharType="end"/>
            </w:r>
          </w:hyperlink>
        </w:p>
        <w:p>
          <w:pPr>
            <w:pStyle w:val="9"/>
            <w:tabs>
              <w:tab w:val="right" w:leader="dot" w:pos="9026"/>
            </w:tabs>
            <w:spacing w:before="120" w:after="60"/>
          </w:pPr>
          <w:hyperlink w:anchor="_Toc100038" w:history="1">
            <w:r>
              <w:rPr>
                <w:rStyle w:val="Hyperlink"/>
              </w:rPr>
              <w:t>ГЛАВА 8. ЗАКЛЮЧЕНИЕ И ПЕРСПЕКТИВЫ</w:t>
            </w:r>
            <w:r>
              <w:tab/>
            </w:r>
            <w:r>
              <w:fldChar w:fldCharType="begin"/>
            </w:r>
            <w:r>
              <w:instrText xml:space="preserve"> PAGEREF _Toc100038 \h </w:instrText>
            </w:r>
            <w:r>
              <w:fldChar w:fldCharType="separate"/>
            </w:r>
            <w:r>
              <w:t>33</w:t>
            </w:r>
            <w:r>
              <w:fldChar w:fldCharType="end"/>
            </w:r>
          </w:hyperlink>
        </w:p>
        <w:p>
          <w:pPr>
            <w:pStyle w:val="11"/>
            <w:ind w:left="360"/>
            <w:tabs>
              <w:tab w:val="right" w:leader="dot" w:pos="9026"/>
            </w:tabs>
            <w:spacing w:before="120" w:after="60"/>
          </w:pPr>
          <w:hyperlink w:anchor="_Toc100039" w:history="1">
            <w:r>
              <w:rPr>
                <w:rStyle w:val="Hyperlink"/>
              </w:rPr>
              <w:t>8.1 Основные выводы</w:t>
            </w:r>
            <w:r>
              <w:tab/>
            </w:r>
            <w:r>
              <w:fldChar w:fldCharType="begin"/>
            </w:r>
            <w:r>
              <w:instrText xml:space="preserve"> PAGEREF _Toc100039 \h </w:instrText>
            </w:r>
            <w:r>
              <w:fldChar w:fldCharType="separate"/>
            </w:r>
            <w:r>
              <w:t>33</w:t>
            </w:r>
            <w:r>
              <w:fldChar w:fldCharType="end"/>
            </w:r>
          </w:hyperlink>
        </w:p>
        <w:p>
          <w:pPr>
            <w:pStyle w:val="11"/>
            <w:ind w:left="360"/>
            <w:tabs>
              <w:tab w:val="right" w:leader="dot" w:pos="9026"/>
            </w:tabs>
            <w:spacing w:before="120" w:after="60"/>
          </w:pPr>
          <w:hyperlink w:anchor="_Toc100040" w:history="1">
            <w:r>
              <w:rPr>
                <w:rStyle w:val="Hyperlink"/>
              </w:rPr>
              <w:t>8.2 Вклад в науку</w:t>
            </w:r>
            <w:r>
              <w:tab/>
            </w:r>
            <w:r>
              <w:fldChar w:fldCharType="begin"/>
            </w:r>
            <w:r>
              <w:instrText xml:space="preserve"> PAGEREF _Toc100040 \h </w:instrText>
            </w:r>
            <w:r>
              <w:fldChar w:fldCharType="separate"/>
            </w:r>
            <w:r>
              <w:t>33</w:t>
            </w:r>
            <w:r>
              <w:fldChar w:fldCharType="end"/>
            </w:r>
          </w:hyperlink>
        </w:p>
        <w:p>
          <w:pPr>
            <w:pStyle w:val="11"/>
            <w:ind w:left="360"/>
            <w:tabs>
              <w:tab w:val="right" w:leader="dot" w:pos="9026"/>
            </w:tabs>
            <w:spacing w:before="120" w:after="60"/>
          </w:pPr>
          <w:hyperlink w:anchor="_Toc100041" w:history="1">
            <w:r>
              <w:rPr>
                <w:rStyle w:val="Hyperlink"/>
              </w:rPr>
              <w:t>8.3 Направления будущих исследований</w:t>
            </w:r>
            <w:r>
              <w:tab/>
            </w:r>
            <w:r>
              <w:fldChar w:fldCharType="begin"/>
            </w:r>
            <w:r>
              <w:instrText xml:space="preserve"> PAGEREF _Toc100041 \h </w:instrText>
            </w:r>
            <w:r>
              <w:fldChar w:fldCharType="separate"/>
            </w:r>
            <w:r>
              <w:t>34</w:t>
            </w:r>
            <w:r>
              <w:fldChar w:fldCharType="end"/>
            </w:r>
          </w:hyperlink>
        </w:p>
        <w:p>
          <w:pPr>
            <w:pStyle w:val="9"/>
            <w:tabs>
              <w:tab w:val="right" w:leader="dot" w:pos="9026"/>
            </w:tabs>
            <w:spacing w:before="120" w:after="60"/>
          </w:pPr>
          <w:hyperlink w:anchor="_Toc100042" w:history="1">
            <w:r>
              <w:rPr>
                <w:rStyle w:val="Hyperlink"/>
              </w:rPr>
              <w:t>ПРИЛОЖЕНИЕ А. КОД ИЗВЛЕЧЕНИЯ АКТИВАЦИЙ</w:t>
            </w:r>
            <w:r>
              <w:tab/>
            </w:r>
            <w:r>
              <w:fldChar w:fldCharType="begin"/>
            </w:r>
            <w:r>
              <w:instrText xml:space="preserve"> PAGEREF _Toc100042 \h </w:instrText>
            </w:r>
            <w:r>
              <w:fldChar w:fldCharType="separate"/>
            </w:r>
            <w:r>
              <w:t>35</w:t>
            </w:r>
            <w:r>
              <w:fldChar w:fldCharType="end"/>
            </w:r>
          </w:hyperlink>
        </w:p>
        <w:p>
          <w:pPr>
            <w:pStyle w:val="9"/>
            <w:tabs>
              <w:tab w:val="right" w:leader="dot" w:pos="9026"/>
            </w:tabs>
            <w:spacing w:before="120" w:after="60"/>
          </w:pPr>
          <w:hyperlink w:anchor="_Toc100043" w:history="1">
            <w:r>
              <w:rPr>
                <w:rStyle w:val="Hyperlink"/>
              </w:rPr>
              <w:t>ПРИЛОЖЕНИЕ Б. МАТЕМАТИЧЕСКИЕ ДЕТАЛИ</w:t>
            </w:r>
            <w:r>
              <w:tab/>
            </w:r>
            <w:r>
              <w:fldChar w:fldCharType="begin"/>
            </w:r>
            <w:r>
              <w:instrText xml:space="preserve"> PAGEREF _Toc100043 \h </w:instrText>
            </w:r>
            <w:r>
              <w:fldChar w:fldCharType="separate"/>
            </w:r>
            <w:r>
              <w:t>38</w:t>
            </w:r>
            <w:r>
              <w:fldChar w:fldCharType="end"/>
            </w:r>
          </w:hyperlink>
        </w:p>
        <w:p>
          <w:pPr>
            <w:pStyle w:val="11"/>
            <w:ind w:left="360"/>
            <w:tabs>
              <w:tab w:val="right" w:leader="dot" w:pos="9026"/>
            </w:tabs>
            <w:spacing w:before="120" w:after="60"/>
          </w:pPr>
          <w:hyperlink w:anchor="_Toc100044" w:history="1">
            <w:r>
              <w:rPr>
                <w:rStyle w:val="Hyperlink"/>
              </w:rPr>
              <w:t>Б.1 Вывод закона Марченко—Пастура</w:t>
            </w:r>
            <w:r>
              <w:tab/>
            </w:r>
            <w:r>
              <w:fldChar w:fldCharType="begin"/>
            </w:r>
            <w:r>
              <w:instrText xml:space="preserve"> PAGEREF _Toc100044 \h </w:instrText>
            </w:r>
            <w:r>
              <w:fldChar w:fldCharType="separate"/>
            </w:r>
            <w:r>
              <w:t>38</w:t>
            </w:r>
            <w:r>
              <w:fldChar w:fldCharType="end"/>
            </w:r>
          </w:hyperlink>
        </w:p>
        <w:p>
          <w:pPr>
            <w:pStyle w:val="11"/>
            <w:ind w:left="360"/>
            <w:tabs>
              <w:tab w:val="right" w:leader="dot" w:pos="9026"/>
            </w:tabs>
            <w:spacing w:before="120" w:after="60"/>
          </w:pPr>
          <w:hyperlink w:anchor="_Toc100045" w:history="1">
            <w:r>
              <w:rPr>
                <w:rStyle w:val="Hyperlink"/>
              </w:rPr>
              <w:t>Б.2 Асимптотика Трейси—Видома</w:t>
            </w:r>
            <w:r>
              <w:tab/>
            </w:r>
            <w:r>
              <w:fldChar w:fldCharType="begin"/>
            </w:r>
            <w:r>
              <w:instrText xml:space="preserve"> PAGEREF _Toc100045 \h </w:instrText>
            </w:r>
            <w:r>
              <w:fldChar w:fldCharType="separate"/>
            </w:r>
            <w:r>
              <w:t>38</w:t>
            </w:r>
            <w:r>
              <w:fldChar w:fldCharType="end"/>
            </w:r>
          </w:hyperlink>
        </w:p>
        <w:p>
          <w:pPr>
            <w:pStyle w:val="11"/>
            <w:ind w:left="360"/>
            <w:tabs>
              <w:tab w:val="right" w:leader="dot" w:pos="9026"/>
            </w:tabs>
            <w:spacing w:before="120" w:after="60"/>
          </w:pPr>
          <w:hyperlink w:anchor="_Toc100046" w:history="1">
            <w:r>
              <w:rPr>
                <w:rStyle w:val="Hyperlink"/>
              </w:rPr>
              <w:t>Б.3 Коэффициент обратного участия и локализация Андерсона</w:t>
            </w:r>
            <w:r>
              <w:tab/>
            </w:r>
            <w:r>
              <w:fldChar w:fldCharType="begin"/>
            </w:r>
            <w:r>
              <w:instrText xml:space="preserve"> PAGEREF _Toc100046 \h </w:instrText>
            </w:r>
            <w:r>
              <w:fldChar w:fldCharType="separate"/>
            </w:r>
            <w:r>
              <w:t>38</w:t>
            </w:r>
            <w:r>
              <w:fldChar w:fldCharType="end"/>
            </w:r>
          </w:hyperlink>
        </w:p>
        <w:p>
          <w:pPr>
            <w:pStyle w:val="11"/>
            <w:ind w:left="360"/>
            <w:tabs>
              <w:tab w:val="right" w:leader="dot" w:pos="9026"/>
            </w:tabs>
            <w:spacing w:before="120" w:after="60"/>
          </w:pPr>
          <w:hyperlink w:anchor="_Toc100047" w:history="1">
            <w:r>
              <w:rPr>
                <w:rStyle w:val="Hyperlink"/>
              </w:rPr>
              <w:t>Б.4 Ренормализационная группа для спектральной энтропии</w:t>
            </w:r>
            <w:r>
              <w:tab/>
            </w:r>
            <w:r>
              <w:fldChar w:fldCharType="begin"/>
            </w:r>
            <w:r>
              <w:instrText xml:space="preserve"> PAGEREF _Toc100047 \h </w:instrText>
            </w:r>
            <w:r>
              <w:fldChar w:fldCharType="separate"/>
            </w:r>
            <w:r>
              <w:t>38</w:t>
            </w:r>
            <w:r>
              <w:fldChar w:fldCharType="end"/>
            </w:r>
          </w:hyperlink>
        </w:p>
        <w:p>
          <w:pPr>
            <w:pStyle w:val="9"/>
            <w:tabs>
              <w:tab w:val="right" w:leader="dot" w:pos="9026"/>
            </w:tabs>
            <w:spacing w:before="120" w:after="60"/>
          </w:pPr>
          <w:hyperlink w:anchor="_Toc100048" w:history="1">
            <w:r>
              <w:rPr>
                <w:rStyle w:val="Hyperlink"/>
              </w:rPr>
              <w:t>ПРИЛОЖЕНИЕ В. ДОПОЛНИТЕЛЬНЫЕ ЭКСПЕРИМЕНТЫ</w:t>
            </w:r>
            <w:r>
              <w:tab/>
            </w:r>
            <w:r>
              <w:fldChar w:fldCharType="begin"/>
            </w:r>
            <w:r>
              <w:instrText xml:space="preserve"> PAGEREF _Toc100048 \h </w:instrText>
            </w:r>
            <w:r>
              <w:fldChar w:fldCharType="separate"/>
            </w:r>
            <w:r>
              <w:t>39</w:t>
            </w:r>
            <w:r>
              <w:fldChar w:fldCharType="end"/>
            </w:r>
          </w:hyperlink>
        </w:p>
        <w:p>
          <w:pPr>
            <w:pStyle w:val="11"/>
            <w:ind w:left="360"/>
            <w:tabs>
              <w:tab w:val="right" w:leader="dot" w:pos="9026"/>
            </w:tabs>
            <w:spacing w:before="120" w:after="60"/>
          </w:pPr>
          <w:hyperlink w:anchor="_Toc100049" w:history="1">
            <w:r>
              <w:rPr>
                <w:rStyle w:val="Hyperlink"/>
              </w:rPr>
              <w:t>В.1 Анализ робастности по отношению к выбору модели</w:t>
            </w:r>
            <w:r>
              <w:tab/>
            </w:r>
            <w:r>
              <w:fldChar w:fldCharType="begin"/>
            </w:r>
            <w:r>
              <w:instrText xml:space="preserve"> PAGEREF _Toc100049 \h </w:instrText>
            </w:r>
            <w:r>
              <w:fldChar w:fldCharType="separate"/>
            </w:r>
            <w:r>
              <w:t>39</w:t>
            </w:r>
            <w:r>
              <w:fldChar w:fldCharType="end"/>
            </w:r>
          </w:hyperlink>
        </w:p>
        <w:p>
          <w:pPr>
            <w:pStyle w:val="11"/>
            <w:ind w:left="360"/>
            <w:tabs>
              <w:tab w:val="right" w:leader="dot" w:pos="9026"/>
            </w:tabs>
            <w:spacing w:before="120" w:after="60"/>
          </w:pPr>
          <w:hyperlink w:anchor="_Toc100050" w:history="1">
            <w:r>
              <w:rPr>
                <w:rStyle w:val="Hyperlink"/>
              </w:rPr>
              <w:t>В.2 Влияние метода токенизации</w:t>
            </w:r>
            <w:r>
              <w:tab/>
            </w:r>
            <w:r>
              <w:fldChar w:fldCharType="begin"/>
            </w:r>
            <w:r>
              <w:instrText xml:space="preserve"> PAGEREF _Toc100050 \h </w:instrText>
            </w:r>
            <w:r>
              <w:fldChar w:fldCharType="separate"/>
            </w:r>
            <w:r>
              <w:t>40</w:t>
            </w:r>
            <w:r>
              <w:fldChar w:fldCharType="end"/>
            </w:r>
          </w:hyperlink>
        </w:p>
        <w:p>
          <w:pPr>
            <w:pStyle w:val="11"/>
            <w:ind w:left="360"/>
            <w:tabs>
              <w:tab w:val="right" w:leader="dot" w:pos="9026"/>
            </w:tabs>
            <w:spacing w:before="120" w:after="60"/>
          </w:pPr>
          <w:hyperlink w:anchor="_Toc100051" w:history="1">
            <w:r>
              <w:rPr>
                <w:rStyle w:val="Hyperlink"/>
              </w:rPr>
              <w:t>В.3 Сравнение с пермутационным тестом</w:t>
            </w:r>
            <w:r>
              <w:tab/>
            </w:r>
            <w:r>
              <w:fldChar w:fldCharType="begin"/>
            </w:r>
            <w:r>
              <w:instrText xml:space="preserve"> PAGEREF _Toc100051 \h </w:instrText>
            </w:r>
            <w:r>
              <w:fldChar w:fldCharType="separate"/>
            </w:r>
            <w:r>
              <w:t>40</w:t>
            </w:r>
            <w:r>
              <w:fldChar w:fldCharType="end"/>
            </w:r>
          </w:hyperlink>
        </w:p>
        <w:p>
          <w:pPr>
            <w:pStyle w:val="9"/>
            <w:tabs>
              <w:tab w:val="right" w:leader="dot" w:pos="9026"/>
            </w:tabs>
            <w:spacing w:before="120" w:after="60"/>
          </w:pPr>
          <w:hyperlink w:anchor="_Toc100052" w:history="1">
            <w:r>
              <w:rPr>
                <w:rStyle w:val="Hyperlink"/>
              </w:rPr>
              <w:t>СПИСОК ЛИТЕРАТУРЫ</w:t>
            </w:r>
            <w:r>
              <w:tab/>
            </w:r>
            <w:r>
              <w:fldChar w:fldCharType="begin"/>
            </w:r>
            <w:r>
              <w:instrText xml:space="preserve"> PAGEREF _Toc100052 \h </w:instrText>
            </w:r>
            <w:r>
              <w:fldChar w:fldCharType="separate"/>
            </w:r>
            <w:r>
              <w:t>40</w:t>
            </w:r>
            <w:r>
              <w:fldChar w:fldCharType="end"/>
            </w:r>
          </w:hyperlink>
        </w:p>
        <w:p>
          <w:r>
            <w:fldChar w:fldCharType="end"/>
          </w:r>
        </w:p>
      </w:sdtContent>
    </w:sdt>
    <w:p>
      <w:pPr>
        <w:sectPr>
          <w:pgSz w:w="11906" w:h="16838" w:orient="portrait"/>
          <w:pgMar w:top="1440" w:right="1440" w:bottom="1440" w:left="1440" w:header="708" w:footer="708" w:gutter="0"/>
          <w:pgNumType/>
          <w:docGrid w:linePitch="360"/>
        </w:sectPr>
      </w:pP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00" w:name="_Toc100000"/>
      <w:r>
        <w:rPr>
          <w:rFonts w:ascii="Times New Roman" w:cs="Times New Roman" w:eastAsia="Times New Roman" w:hAnsi="Times New Roman"/>
          <w:b/>
          <w:color w:val="0A9B72"/>
          <w:sz w:val="32"/>
          <w:szCs w:val="32"/>
        </w:rPr>
        <w:t xml:space="preserve">ГЛАВА 1. ВВЕДЕНИЕ</w:t>
      </w:r>
      <w:bookmarkEnd w:id="100000"/>
    </w:p>
    <w:p>
      <w:pPr>
        <w:pStyle w:val="Heading2"/>
        <w:shd w:fill="FBF6E8" w:val="clear"/>
        <w:spacing w:after="240" w:before="360" w:line="360"/>
      </w:pPr>
      <w:bookmarkStart w:id="100001" w:name="_Toc100001"/>
      <w:r>
        <w:rPr>
          <w:rFonts w:ascii="Times New Roman" w:cs="Times New Roman" w:eastAsia="Times New Roman" w:hAnsi="Times New Roman"/>
          <w:b/>
          <w:color w:val="0E7FA8"/>
          <w:sz w:val="30"/>
          <w:szCs w:val="30"/>
        </w:rPr>
        <w:t xml:space="preserve">1.1 Актуальность исследования</w:t>
      </w:r>
      <w:bookmarkEnd w:id="100001"/>
    </w:p>
    <w:p>
      <w:pPr>
        <w:shd w:fill="FBF6E8" w:val="clear"/>
        <w:spacing w:after="120" w:line="312"/>
        <w:ind w:firstLine="480"/>
        <w:jc w:val="both"/>
      </w:pPr>
      <w:r>
        <w:rPr>
          <w:rFonts w:ascii="Times New Roman" w:cs="Times New Roman" w:eastAsia="Times New Roman" w:hAnsi="Times New Roman"/>
          <w:color w:val="1A1A1A"/>
          <w:sz w:val="24"/>
          <w:szCs w:val="24"/>
        </w:rPr>
        <w:t xml:space="preserve">Быстрое развитие больших языковых моделей (БЯМ), таких как GPT-4, LLaMA, Claude и их производных, привело к революции в области обработки естественного языка. Эти модели демонстрируют замечательные способности к генерации связного текста, переводу, резюмированию и решению логических задач. Однако наряду с несомненными достижениями возникает фундаментальная проблема: БЯМ склонны к генерации фактически неверного контента, так называемых «галлюцинаций», которые могут быть внешне правдоподобными, но не соответствовать реальности. Данная проблема приобретает особую остроту в критических приложениях — медицинской диагностике, юридическом консультировании, финансовом анализе, — где ошибки генерации могут иметь серьёзные последствия.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методы обнаружения галлюцинаций, основанные на анализе выходного текста, вероятностных метриках или внешней верификации, обладают рядом ограничений. Они, как правило, работают постфактум, требуют дополнительных вычислительных ресурсов и не всегда способны выявить тонкие формы фактических ошибок. В связи с этим возникает потребность в принципиально новом подходе, который позволил бы анализировать внутренние репрезентации модели в процессе генерации и выявлять спектральные признаки, отличающие фактическую генерацию от творческой.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изначально разработанная для описания спектров тяжёлых атомных ядер Юджином Вигнером в 1950-х годах, представляет собой мощный математический аппарат для анализа статистических свойств спектров больших матриц. За последние десятилетия СМТ нашла применения в разнообразных областях — от квантовой хаотики и теории чисел до финансовой математики и нейронауки. Закон Марченко—Пастура, фазовый переход BBP и распределение Трейси—Видома предоставляют универсальные предсказания, не зависящие от деталей конкретной системы, что делает СМТ идеальным инструментом для анализа активаций нейронных сетей.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Настоящее исследование находится на пересечении двух активно развивающихся направлений: теории случайных матриц и интерпретируемости больших языковых моделей. Применение методов СМТ к анализу активаций БЯМ открывает принципиально новые возможности для понимания внутренних механизмов генерации и создания надёжных инструментов контроля качества выходного текста.</w:t>
      </w:r>
    </w:p>
    <w:p>
      <w:pPr>
        <w:pStyle w:val="Heading2"/>
        <w:shd w:fill="FBF6E8" w:val="clear"/>
        <w:spacing w:after="240" w:before="360" w:line="360"/>
      </w:pPr>
      <w:bookmarkStart w:id="100002" w:name="_Toc100002"/>
      <w:r>
        <w:rPr>
          <w:rFonts w:ascii="Times New Roman" w:cs="Times New Roman" w:eastAsia="Times New Roman" w:hAnsi="Times New Roman"/>
          <w:b/>
          <w:color w:val="0E7FA8"/>
          <w:sz w:val="30"/>
          <w:szCs w:val="30"/>
        </w:rPr>
        <w:t xml:space="preserve">1.2 Постановка проблемы</w:t>
      </w:r>
      <w:bookmarkEnd w:id="100002"/>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Центральная проблема, решаемая в данной работе, может быть сформулирована следующим образом: существует ли качественное и количественное различие в спектральных свойствах ковариационных матриц активаций БЯМ, которое позволяет надёжно различать режимы фактической (достоверной) и творческой (потentially недостоверной) генерации? При этом под «фактической генерацией» понимается генерация текста, основанная на retrieval-подобных механизмах извлечения знаний из весов модели, тогда как под «творческой генерацией» — генерация, опирающаяся на интерполяцию и комбинаторное переупорядочение усвоенных паттернов.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Гипотеза исследования состоит в том, что ковариационные матрицы активаций в режиме фактической генерации содержат доминирующие собственные значения, выходящие за пределы предсказаний закона Марченко—Пастура для случайных матриц, что свидетельствует о наличии информативного сигнала. Напротив, в режиме творческой генерации спектр более близок к случайному, что указывает на делокализацию информации по множеству собственных векторов. Данная гипотеза естественно формулируется в терминах фазового перехода BBP и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данной гипотезы необходимо решить ряд взаимосвязанных задач: разработать методику извлечения и предварительной обработки активаций из различных слоёв БЯМ, сформировать ковариационные матрицы и провести их спектральный анализ с использованием аппарата СМТ, а также построить количественные метрики, позволяющие надёжно различать два режима генерации.</w:t>
      </w:r>
    </w:p>
    <w:p>
      <w:pPr>
        <w:pStyle w:val="Heading2"/>
        <w:shd w:fill="FBF6E8" w:val="clear"/>
        <w:spacing w:after="240" w:before="360" w:line="360"/>
      </w:pPr>
      <w:bookmarkStart w:id="100003" w:name="_Toc100003"/>
      <w:r>
        <w:rPr>
          <w:rFonts w:ascii="Times New Roman" w:cs="Times New Roman" w:eastAsia="Times New Roman" w:hAnsi="Times New Roman"/>
          <w:b/>
          <w:color w:val="0E7FA8"/>
          <w:sz w:val="30"/>
          <w:szCs w:val="30"/>
        </w:rPr>
        <w:t xml:space="preserve">1.3 Цели и задачи исследования</w:t>
      </w:r>
      <w:bookmarkEnd w:id="100003"/>
    </w:p>
    <w:p>
      <w:pPr>
        <w:shd w:fill="FBF6E8" w:val="clear"/>
        <w:spacing w:after="120" w:line="312"/>
        <w:ind w:firstLine="480"/>
        <w:jc w:val="both"/>
      </w:pPr>
      <w:r>
        <w:rPr>
          <w:rFonts w:ascii="Times New Roman" w:cs="Times New Roman" w:eastAsia="Times New Roman" w:hAnsi="Times New Roman"/>
          <w:color w:val="1A1A1A"/>
          <w:sz w:val="24"/>
          <w:szCs w:val="24"/>
        </w:rPr>
        <w:t xml:space="preserve">Целью настоящей работы является разработка и экспериментальная верификация методологии спектрального анализа активаций БЯМ на основе случайной матричной теории для различения режимов фактической и творческой генерации текста.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достижения поставленной цели сформулированы следующие задачи: (1) адаптировать ключевые результаты СМТ — закон Марченко—Пастура, фазовый переход BBP, распределение Трейси—Видома, коэффициент обратного участия — к анализу ковариационных матриц активаций нейронных сетей; (2) разработать вычислительную процедуру извлечения активаций из промежуточных слоёв трансформера и формирования ковариационных матриц; (3) построить спектральные метрики, количественно характеризующие степень «фактичности» или «творческости» генерации; (4) разработать термодинамическую аналогию, интерпретирующую режимы генерации как фазы вещества; (5) провести экспериментальную проверку методологии на модели GPT-2 при варьировании температуры генерации, номера слоя и длины промпта.</w:t>
      </w:r>
    </w:p>
    <w:p>
      <w:pPr>
        <w:pStyle w:val="Heading2"/>
        <w:shd w:fill="FBF6E8" w:val="clear"/>
        <w:spacing w:after="240" w:before="360" w:line="360"/>
      </w:pPr>
      <w:bookmarkStart w:id="100004" w:name="_Toc100004"/>
      <w:r>
        <w:rPr>
          <w:rFonts w:ascii="Times New Roman" w:cs="Times New Roman" w:eastAsia="Times New Roman" w:hAnsi="Times New Roman"/>
          <w:b/>
          <w:color w:val="0E7FA8"/>
          <w:sz w:val="30"/>
          <w:szCs w:val="30"/>
        </w:rPr>
        <w:t xml:space="preserve">1.4 Научная новизна</w:t>
      </w:r>
      <w:bookmarkEnd w:id="100004"/>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Научная новизна работы заключается в следующем. Впервые предложена комплексная методология применения случайной матричной теории к анализу активаций больших языковых моделей для различения режимов генерации. Введена термодинамическая аналогия, в которой свободная энергия F = U − T·S_spec определяет стабильные фазы генерации, а ренормализационная группа по слоям трансформера описывает поток между фазами. Разработаны количественные метрики — спектральное SNR, нормализованная спектральная энтропия, IPR и отношение интервалов — позволяющие с высокой статистической значимостью различать фактическую и творческую генерацию.</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Ключевой результат: спектральные свойства ковариационных матриц активаций БЯМ демонстрируют универсальные закономерности, описываемые СМТ, что открывает принципиально новые возможности для интерпретируемости и контроля генерации.</w:t>
      </w:r>
    </w:p>
    <w:p>
      <w:pPr>
        <w:pStyle w:val="Heading2"/>
        <w:shd w:fill="FBF6E8" w:val="clear"/>
        <w:spacing w:after="240" w:before="360" w:line="360"/>
      </w:pPr>
      <w:bookmarkStart w:id="100005" w:name="_Toc100005"/>
      <w:r>
        <w:rPr>
          <w:rFonts w:ascii="Times New Roman" w:cs="Times New Roman" w:eastAsia="Times New Roman" w:hAnsi="Times New Roman"/>
          <w:b/>
          <w:color w:val="0E7FA8"/>
          <w:sz w:val="30"/>
          <w:szCs w:val="30"/>
        </w:rPr>
        <w:t xml:space="preserve">1.5 Структура работы</w:t>
      </w:r>
      <w:bookmarkEnd w:id="100005"/>
    </w:p>
    <w:p>
      <w:pPr>
        <w:shd w:fill="FBF6E8" w:val="clear"/>
        <w:spacing w:after="120" w:line="312"/>
        <w:ind w:firstLine="480"/>
        <w:jc w:val="both"/>
      </w:pPr>
      <w:r>
        <w:rPr>
          <w:rFonts w:ascii="Times New Roman" w:cs="Times New Roman" w:eastAsia="Times New Roman" w:hAnsi="Times New Roman"/>
          <w:color w:val="1A1A1A"/>
          <w:sz w:val="24"/>
          <w:szCs w:val="24"/>
        </w:rPr>
        <w:t xml:space="preserve">Работа состоит из введения, восьми глав, трёх приложений и списка литературы. В главе 2 излагаются теоретические основы случайной матричной теории, включая закон Марченко—Пастура, фазовый переход BBP, распределение Трейси—Видома и коэффициент обратного участия. В главе 3 описывается архитектура трансформера и процедура извлечения активаций из модели GPT-2. В главе 4 представлена методология спектрального анализа ковариационных матриц активаций. В главе 5 развивается термодинамическая аналогия и модель свободной энергии. В главе 6 приведены экспериментальные результаты. В главе 7 обсуждаются полученные результаты и ограничения метода. В главе 8 сформулированы основные выводы и перспективы дальнейших исследований.</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06" w:name="_Toc100006"/>
      <w:r>
        <w:rPr>
          <w:rFonts w:ascii="Times New Roman" w:cs="Times New Roman" w:eastAsia="Times New Roman" w:hAnsi="Times New Roman"/>
          <w:b/>
          <w:color w:val="0A9B72"/>
          <w:sz w:val="32"/>
          <w:szCs w:val="32"/>
        </w:rPr>
        <w:t xml:space="preserve">ГЛАВА 2. ТЕОРЕТИЧЕСКИЕ ОСНОВЫ СЛУЧАЙНОЙ МАТРИЧНОЙ ТЕОРИИ</w:t>
      </w:r>
      <w:bookmarkEnd w:id="100006"/>
    </w:p>
    <w:p>
      <w:pPr>
        <w:pStyle w:val="Heading2"/>
        <w:shd w:fill="FBF6E8" w:val="clear"/>
        <w:spacing w:after="240" w:before="360" w:line="360"/>
      </w:pPr>
      <w:bookmarkStart w:id="100007" w:name="_Toc100007"/>
      <w:r>
        <w:rPr>
          <w:rFonts w:ascii="Times New Roman" w:cs="Times New Roman" w:eastAsia="Times New Roman" w:hAnsi="Times New Roman"/>
          <w:b/>
          <w:color w:val="0E7FA8"/>
          <w:sz w:val="30"/>
          <w:szCs w:val="30"/>
        </w:rPr>
        <w:t xml:space="preserve">2.1 Исторический обзор и основные концепции</w:t>
      </w:r>
      <w:bookmarkEnd w:id="100007"/>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берёт своё начало из работ Юджина Вигнера, который в 1955 году предложил использовать ансамбли случайных матриц для описания спектральных свойств тяжёлых атомных ядер. Вигнер показал, что распределение расстояний между соседними уровнями энергии в сложных ядрах хорошо описывается статистикой гауссовых ансамблей, а не независимыми случайными величинами. Это наблюдение стало отправной точкой для развития целого направления математической физики, связанного с универсальными спектральными свойствами больших матриц.</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1967 году Марченко и Пастур получили асимптотическое распределение собственных значений выборочных ковариационных матриц больших размерностей, известное как закон Марченко—Пастура. Этот результат стал одним из краеугольных камней СМТ, поскольку он описывает предельное спектральное распределение для широкого класса случайных матриц и находит применения в многомерной статистике, обработке сигналов и анализе финансовых данных. Закон Марченко—Пастура определяет границы «случайного» спектра: собственные значения, выходящие за эти границы, свидетельствуют о наличии детерминированного сигнала в данных.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Байо—Бен Аруна—Пеше (BBP), открытый в 2005 году, описывает качественное изменение спектральных свойств ковариационных матриц при появлении выделенного сигнала. Когда интенсивность сигнала превышает критический порог, наибольшее собственное значение отделяется от «случайного» спектра и выходит за пределы, предсказываемые законом Марченко—Пастура. Этот переход аналогичен фазовому переходу в статистической физике и описывается универсальными законами, не зависящими от деталей распределения матричных элементов.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полученное в 1994 году, описывает флуктуации наибольшего собственного значения случайных матриц в пределе большой размерности. Это распределение играет роль, аналогичную гауссову распределению в центральной предельной теореме, но для экстремальных собственных значений. Универсальность распределения Трейси—Видома была подтверждена в самых разнообразных системах — от модели Изинга до задач комбинаторной оптимизации, что делает его мощным инструментом статистического анализа.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нейронаук и машинного обучения СМТ начала применяться сравнительно недавно. Работы Стрингера с соавторами (2019) и Линя с соавторами (2024) показали, что спектральные свойства нейронных активаций демонстрируют универсальные закономерности, описываемые СМТ. Настоящая работа развивает это направление, применяя методы СМТ к анализу активаций больших языковых моделей с целью различения режимов генерации.</w:t>
      </w:r>
    </w:p>
    <w:p>
      <w:pPr>
        <w:pStyle w:val="Heading2"/>
        <w:shd w:fill="FBF6E8" w:val="clear"/>
        <w:spacing w:after="240" w:before="360" w:line="360"/>
      </w:pPr>
      <w:bookmarkStart w:id="100008" w:name="_Toc100008"/>
      <w:r>
        <w:rPr>
          <w:rFonts w:ascii="Times New Roman" w:cs="Times New Roman" w:eastAsia="Times New Roman" w:hAnsi="Times New Roman"/>
          <w:b/>
          <w:color w:val="0E7FA8"/>
          <w:sz w:val="30"/>
          <w:szCs w:val="30"/>
        </w:rPr>
        <w:t xml:space="preserve">2.2 Закон Марченко—Пастура</w:t>
      </w:r>
      <w:bookmarkEnd w:id="100008"/>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описывает асимптотическое распределение собственных значений выборочной ковариационной матрицы S = (1/N)XX^T, где X — матрица размера p×N, элементы которой являются независимыми случайными величинами с нулевым средним и единичной дисперсией. При N, p → ∞ и фиксированном отношении q = p/N предельная спектральная плотность ρ(λ) имеет компактный носитель [λ₋, λ₊] и задаётся выражением:</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ρ(λ) = (q / 2π) · √((λ₊ − λ)(λ − λ₋)) / λ</w:t>
      </w:r>
      <w:r>
        <w:rPr>
          <w:rFonts w:ascii="Times New Roman" w:cs="Times New Roman" w:eastAsia="Times New Roman" w:hAnsi="Times New Roman"/>
          <w:color w:val="64748B"/>
          <w:sz w:val="22"/>
          <w:szCs w:val="22"/>
        </w:rPr>
        <w:t xml:space="preserve">    (2.1)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границы спектра определяются как λ₊ = (1 + √q)² и λ₋ = (1 − √q)². При q &lt; 1 распределение имеет особенность типа обратного квадратного корня на правом краю, а при q &gt; 1 появляется дельта-вклад при λ = 0, соответствующий нулевым собственным значениям. Закон Марченко—Пастура задаёт «базовую линию» случайного спектра: собственные значения, попадающие в интервал [λ₋, λ₊], совместимы с гипотезой случайности, тогда как значения за пределами этого интервала указывают на наличие детерминированного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закон Марченко—Пастура играет роль нулевой гипотезы: если ковариационная матрица активаций порождена случайным процессом без выделенных корреляций, её спектр должен следовать предсказаниям закона. Отклонения от закона, в первую очередь появление собственных значений правее λ₊, свидетельствуют о наличии информативной структуры в активациях. На рисунке 2.1 показано сравнение наблюдаемой плотности собственных значений с теоретическим предсказанием закона Марченко—Пастура для различных режимов генерации.</w:t>
      </w:r>
    </w:p>
    <w:p>
      <w:pPr>
        <w:shd w:fill="FBF6E8" w:val="clear"/>
        <w:spacing w:after="100" w:before="200"/>
        <w:jc w:val="center"/>
      </w:pPr>
      <w:r>
        <w:drawing>
          <wp:inline distT="0" distB="0" distL="0" distR="0">
            <wp:extent cx="4572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575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2.1. Закон Марченко—Пастура: теоретическая плотность и наблюдаемый спектр</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рисунка 2.1, в режиме фактической генерации (низкая температура) наблюдается значительное отклонение наибольшего собственного значения от предсказания закона Марченко—Пастура, что указывает на наличие выделенного сигнала. Напротив, в режиме творческой генерации (высокая температура) спектр более близок к теоретическому предсказанию, что свидетельствует о делокализации информативной структуры. Это наблюдение является отправной точкой для всего дальнейшего анализа.</w:t>
      </w:r>
    </w:p>
    <w:p>
      <w:pPr>
        <w:pStyle w:val="Heading2"/>
        <w:shd w:fill="FBF6E8" w:val="clear"/>
        <w:spacing w:after="240" w:before="360" w:line="360"/>
      </w:pPr>
      <w:bookmarkStart w:id="100009" w:name="_Toc100009"/>
      <w:r>
        <w:rPr>
          <w:rFonts w:ascii="Times New Roman" w:cs="Times New Roman" w:eastAsia="Times New Roman" w:hAnsi="Times New Roman"/>
          <w:b/>
          <w:color w:val="0E7FA8"/>
          <w:sz w:val="30"/>
          <w:szCs w:val="30"/>
        </w:rPr>
        <w:t xml:space="preserve">2.3 Фазовый переход Байо—Бен Аруна—Пеше (BBP)</w:t>
      </w:r>
      <w:bookmarkEnd w:id="100009"/>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описывает качественную перестройку спектра ковариационной матрицы при появлении выделенного сигнала. Рассмотрим модель S = (1/N)XX^T + θ·vv^T, где v — единичный вектор, а θ — интенсивность сигнала. При малых θ наибольшее собственное значение следует за краем спектра Марченко—Пастура и его флуктуации описываются распределением Трейси—Видома. Однако при превышении критического порога θ_c = √q наибольшее собственное значение отделяется от «пула» и начинает расти линейно с θ:</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λ_max(θ) = θ · (1 + q / θ²)  при θ &gt; √q</w:t>
      </w:r>
      <w:r>
        <w:rPr>
          <w:rFonts w:ascii="Times New Roman" w:cs="Times New Roman" w:eastAsia="Times New Roman" w:hAnsi="Times New Roman"/>
          <w:color w:val="64748B"/>
          <w:sz w:val="22"/>
          <w:szCs w:val="22"/>
        </w:rPr>
        <w:t xml:space="preserve">    (2.2)</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является непрерывным: собственное значение плавно выходит из спектрального «пула», однако характер его флуктуаций резко меняется. При θ &lt; √q флуктуации λ_max описываются распределением Трейси—Видома (типичный масштаб N^(-2/3)), тогда как при θ &gt; √q они становятся гауссовыми с дисперсией порядка 1/N. Это изменение масштаба флуктуаций является надёжным индикатором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активаций БЯМ фазовый переход BBP интерпретируется следующим образом: режим фактической генерации соответствует фазе с выделенным собственным значением (θ &gt; √q), а режим творческой генерации — фазе без выделенного значения (θ &lt; √q). Температура генерации играет роль управляющего параметра, аналогичного интенсивности сигнала θ в модели BBP. На рисунке 2.2 показано поведение наибольшего собственного значения при изменении температуры генерации.</w:t>
      </w:r>
    </w:p>
    <w:p>
      <w:pPr>
        <w:shd w:fill="FBF6E8" w:val="clear"/>
        <w:spacing w:after="100" w:before="200"/>
        <w:jc w:val="center"/>
      </w:pPr>
      <w:r>
        <w:drawing>
          <wp:inline distT="0" distB="0" distL="0" distR="0">
            <wp:extent cx="4572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956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2.2. Фазовый переход BBP: поведение наибольшего собственного значения при изменении температуры</w:t>
      </w:r>
    </w:p>
    <w:p>
      <w:pPr>
        <w:pStyle w:val="Heading2"/>
        <w:shd w:fill="FBF6E8" w:val="clear"/>
        <w:spacing w:after="240" w:before="360" w:line="360"/>
      </w:pPr>
      <w:bookmarkStart w:id="100010" w:name="_Toc100010"/>
      <w:r>
        <w:rPr>
          <w:rFonts w:ascii="Times New Roman" w:cs="Times New Roman" w:eastAsia="Times New Roman" w:hAnsi="Times New Roman"/>
          <w:b/>
          <w:color w:val="0E7FA8"/>
          <w:sz w:val="30"/>
          <w:szCs w:val="30"/>
        </w:rPr>
        <w:t xml:space="preserve">2.4 Распределение Трейси—Видома</w:t>
      </w:r>
      <w:bookmarkEnd w:id="100010"/>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описывает предельные флуктуации наибольшего собственного значения случайной матрицы из гауссова унитарного ансамбля (GUE) при N → ∞. Точнее, для нормированного наибольшего собственного значения ξ = N^(2/3)(λ_max − 2) выполняется: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P(λ_max &lt; s) → F_β(s)  при N → ∞</w:t>
      </w:r>
      <w:r>
        <w:rPr>
          <w:rFonts w:ascii="Times New Roman" w:cs="Times New Roman" w:eastAsia="Times New Roman" w:hAnsi="Times New Roman"/>
          <w:color w:val="64748B"/>
          <w:sz w:val="22"/>
          <w:szCs w:val="22"/>
        </w:rPr>
        <w:t xml:space="preserve">    (2.3)</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F_β(s) — функция распределения Трейси—Видома, β = 1, 2, 4 соответствует ортогональному, унитарному и симплектическому ансамблям соответственно. Наиболее часто используется β = 2 (GUE), для которого функция F₂(s) выражается через решение уравнения Пенлеве II. Асимптотики распределения Трейси—Видома имеют вид: F₂(s) ~ exp(−2s^(3/2)/3) при s → +∞ (суперэкспоненциальное затухание) и F₂(s) ~ exp(−|s|³/12) при s → −∞ (медленный рост). Асимметрия распределения отражает то обстоятельство, что наибольшее собственное значение имеет жёсткую верхнюю границу, но допускает значительные отклонения вниз.</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практических приложений распределение Трейси—Видома позволяет построить статистический тест на наличие выделенного сигнала в ковариационной матрице. Если нормированное наибольшее собственное значение превышает критическое значение, соответствующее заданному уровню значимости, гипотеза об отсутствии сигнала отвергается. Данный подход особенно эффективен в ситуациях, когда размерность мала или средняя, и асимптотика Марченко—Пастура ещё не является точной. На рисунке 2.3 показано сравнение наблюдаемых флуктуаций наибольшего собственного значения с распределением Трейси—Видома.</w:t>
      </w:r>
    </w:p>
    <w:p>
      <w:pPr>
        <w:shd w:fill="FBF6E8" w:val="clea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2.3. Распределение Трейси—Видома: теоретическая кривая и наблюдаемые флуктуации</w:t>
      </w:r>
    </w:p>
    <w:p>
      <w:pPr>
        <w:pStyle w:val="Heading2"/>
        <w:shd w:fill="FBF6E8" w:val="clear"/>
        <w:spacing w:after="240" w:before="360" w:line="360"/>
      </w:pPr>
      <w:bookmarkStart w:id="100011" w:name="_Toc100011"/>
      <w:r>
        <w:rPr>
          <w:rFonts w:ascii="Times New Roman" w:cs="Times New Roman" w:eastAsia="Times New Roman" w:hAnsi="Times New Roman"/>
          <w:b/>
          <w:color w:val="0E7FA8"/>
          <w:sz w:val="30"/>
          <w:szCs w:val="30"/>
        </w:rPr>
        <w:t xml:space="preserve">2.5 Спектральный форм-фактор и отношение интервалов</w:t>
      </w:r>
      <w:bookmarkEnd w:id="100011"/>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Спектральный форм-фактор (СФФ) является мощным инструментом анализа корреляций между собственными значениями. Для матрицы с собственными значениями {λ_i} СФФ определяется как K(τ) = (1/N)⟨|Σᵢ exp(iτλᵢ)|²⟩, где угловые скобки обозначают усреднение по ансамблю. В пределе большой размерности СФФ демонстрирует универсальное поведение: при малых τ (τ &lt; 1) он описывается линейным ростом («rampe»), при τ = 1 достигает плато («plateau»), а при τ &gt; 1 выходит на константу, определяемую средней плотностью состояний. Переходная область τ ≈ 1 содержит информацию о универсальных корреляциях между собственными значениями и позволяет различать интегрируемые и хаотические системы.</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Отношение интервалов (spacing ratio) rᵢ = min(sᵢ, sᵢ₊₁)/max(sᵢ, sᵢ₊₁), где sᵢ = λᵢ₊₁ − λᵢ — расстояние между соседними собственными значениями, является удобной метрикой для классификации спектральной статистики без необходимости разворачивания (unfolding) спектра. Для гауссова ортогонального ансамбля (GOE) распределение отношений интервалов хорошо аппроксимируется выражением P(r) = (27/4)(r + r²)/(1 + r + r²)^(5/2), тогда как для пуассоновской статистики (интегрируемые системы) P(r) = 1/(1 + r)². Среднее значение ⟨r⟩ составляет приблизительно 0.536 для GOE и 0.386 для пуассоновской статистики.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отношение интервалов позволяет определить, подчиняется ли спектр ковариационной матрицы статистике случайного ансамбля (что свидетельствует о делокализованном, «творческом» режиме) или отклоняется от неё (что указывает на наличие информативной структуры, характерной для «фактического» режима). На рисунке 2.4 показан спектральный форм-фактор для различных режимов генерации.</w:t>
      </w:r>
    </w:p>
    <w:p>
      <w:pPr>
        <w:shd w:fill="FBF6E8" w:val="clear"/>
        <w:spacing w:after="10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908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2.4. Спектральный форм-фактор для различных режимов генерации</w:t>
      </w:r>
    </w:p>
    <w:p>
      <w:pPr>
        <w:pStyle w:val="Heading2"/>
        <w:shd w:fill="FBF6E8" w:val="clear"/>
        <w:spacing w:after="240" w:before="360" w:line="360"/>
      </w:pPr>
      <w:bookmarkStart w:id="100012" w:name="_Toc100012"/>
      <w:r>
        <w:rPr>
          <w:rFonts w:ascii="Times New Roman" w:cs="Times New Roman" w:eastAsia="Times New Roman" w:hAnsi="Times New Roman"/>
          <w:b/>
          <w:color w:val="0E7FA8"/>
          <w:sz w:val="30"/>
          <w:szCs w:val="30"/>
        </w:rPr>
        <w:t xml:space="preserve">2.6 Коэффициент обратного участия (IPR)</w:t>
      </w:r>
      <w:bookmarkEnd w:id="100012"/>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(Inverse Participation Ratio, IPR) является мерой локализации собственных векторов. Для k-го собственного вектора v⁽ᵏ⁾ = (v₁⁽ᵏ⁾, ..., v_p⁽ᵏ⁾) IPR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Ψ_k = Σᵢ |vᵢ⁽ᵏ⁾|⁴</w:t>
      </w:r>
      <w:r>
        <w:rPr>
          <w:rFonts w:ascii="Times New Roman" w:cs="Times New Roman" w:eastAsia="Times New Roman" w:hAnsi="Times New Roman"/>
          <w:color w:val="64748B"/>
          <w:sz w:val="22"/>
          <w:szCs w:val="22"/>
        </w:rPr>
        <w:t xml:space="preserve">    (2.4)</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полностью делокализованного вектора, все компоненты которого одинаковы (|vᵢ|² = 1/p), IPR принимает минимальное значение Ψ = 1/p. Для полностью локализованного вектора, имеющего лишь одну ненулевую компоненту, Ψ = 1. Таким образом, IPR изменяется в диапазоне [1/p, 1], причём большие значения соответствуют локализованным (информативным) собственным векторам, а малые — делокализованным (шумовым).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Эффективная размерность собственного вектора (или коэффициент участия, Participation Ratio)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dim_eff = 1 / Σᵢ ρᵢ²,  где ρᵢ = |vᵢ⁽ᵏ⁾|²</w:t>
      </w:r>
      <w:r>
        <w:rPr>
          <w:rFonts w:ascii="Times New Roman" w:cs="Times New Roman" w:eastAsia="Times New Roman" w:hAnsi="Times New Roman"/>
          <w:color w:val="64748B"/>
          <w:sz w:val="22"/>
          <w:szCs w:val="22"/>
        </w:rPr>
        <w:t xml:space="preserve">    (2.5)</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Эта величина равна числу «существенных» компонент собственного вектора. Для делокализованного вектора dim_eff ≈ p, а для локализованного dim_eff ≈ 1. В контексте активаций БЯМ эффективная размерность наибольшего собственного вектора ковариационной матрицы характеризует число нейронов, вовлечённых в представление информативного сигнала. В режиме фактической генерации ожидается низкая размерность (сигнал концентрируется в небольшом числе нейронов), тогда как в режиме творческой генерации — высокая (информация распределена по многим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отметить, что анализ IPR по всем собственным векторам ковариационной матрицы позволяет построить полную картину локализации в спектральном пространстве. Типичный сценарий: несколько наибольших собственных векторов локализованы (высокий IPR), а остальные делокализованы (низкий IPR). Переход от локализованных к делокализованным собственным векторам происходит в узкой области спектра, что аналогично переходу Андерсона в теории неупорядоченных систем.</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13" w:name="_Toc100013"/>
      <w:r>
        <w:rPr>
          <w:rFonts w:ascii="Times New Roman" w:cs="Times New Roman" w:eastAsia="Times New Roman" w:hAnsi="Times New Roman"/>
          <w:b/>
          <w:color w:val="0A9B72"/>
          <w:sz w:val="32"/>
          <w:szCs w:val="32"/>
        </w:rPr>
        <w:t xml:space="preserve">ГЛАВА 3. АРХИТЕКТУРА LLM И ИЗВЛЕЧЕНИЕ АКТИВАЦИЙ</w:t>
      </w:r>
      <w:bookmarkEnd w:id="100013"/>
    </w:p>
    <w:p>
      <w:pPr>
        <w:pStyle w:val="Heading2"/>
        <w:shd w:fill="FBF6E8" w:val="clear"/>
        <w:spacing w:after="240" w:before="360" w:line="360"/>
      </w:pPr>
      <w:bookmarkStart w:id="100014" w:name="_Toc100014"/>
      <w:r>
        <w:rPr>
          <w:rFonts w:ascii="Times New Roman" w:cs="Times New Roman" w:eastAsia="Times New Roman" w:hAnsi="Times New Roman"/>
          <w:b/>
          <w:color w:val="0E7FA8"/>
          <w:sz w:val="30"/>
          <w:szCs w:val="30"/>
        </w:rPr>
        <w:t xml:space="preserve">3.1 Архитектура трансформера и механизм внимания</w:t>
      </w:r>
      <w:bookmarkEnd w:id="100014"/>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Современные большие языковые модели основаны на архитектуре трансформера, предложенной Вашвани с соавторами в 2017 году. Ключевым элементом трансформера является механизм многоголового самовнимания (multi-head self-attention), который позволяет модели учитывать контекстуальные зависимости между всеми позициями входной последовательности. Для каждой головы внимания h вычисляются запрос Q_h, ключ K_h и значение V_h как линейные проекции входного представления X: Q_h = XW_h^Q, K_h = XW_h^K, V_h = XW_h^V. Выход головы внимания определяется как Attention(Q_h, K_h, V_h) = softmax(Q_h K_h^T / √d_k) V_h, где d_k — размерность ключа.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Помимо механизма внимания, каждый слой трансформера содержит позиционно-зависимую полносвязную сеть (feed-forward network, FFN), состоящую из двух линейных преобразований с промежуточной нелинейностью: FFN(x) = max(0, xW₁ + b₁)W₂ + b₂. В большинстве современных БЯМ в качестве нелинейности используется GELU или SiLU. FFN играет роль ассоциативной памяти: первый линейный слой проецирует входное представление в пространство повышенной размерности (обычно в 4 раза больше скрытой размерности), а второй — возвращает в исходное пространство. Недавние исследования показывают, что именно FFN хранит значительную часть фактических знаний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Архитектура GPT-2, используемая в настоящем исследовании, состоит из 12 слоёв трансформера с 768-мерным скрытым представлением и 12 головами внимания (в конфигурации small). Общее количество параметров составляет 124 миллиона. Каждый слой обрабатывает входное представление последовательно: сначала через механизм самовнимания, затем через FFN, с остаточными связями и послойной нормализацией на каждом шаге. Выходной слой представляет собой линейную проекцию в пространство словаря размерностью 50257 токенов.</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Важно: архитектурные особенности GPT-2 (послойная нормализация, остаточные связи) оказывают существенное влияние на статистические свойства активаций и должны учитываться при спектральном анализе.</w:t>
      </w:r>
    </w:p>
    <w:p>
      <w:pPr>
        <w:pStyle w:val="Heading2"/>
        <w:shd w:fill="FBF6E8" w:val="clear"/>
        <w:spacing w:after="240" w:before="360" w:line="360"/>
      </w:pPr>
      <w:bookmarkStart w:id="100015" w:name="_Toc100015"/>
      <w:r>
        <w:rPr>
          <w:rFonts w:ascii="Times New Roman" w:cs="Times New Roman" w:eastAsia="Times New Roman" w:hAnsi="Times New Roman"/>
          <w:b/>
          <w:color w:val="0E7FA8"/>
          <w:sz w:val="30"/>
          <w:szCs w:val="30"/>
        </w:rPr>
        <w:t xml:space="preserve">3.2 Извлечение активаций из GPT-2</w:t>
      </w:r>
      <w:bookmarkEnd w:id="100015"/>
    </w:p>
    <w:p>
      <w:pPr>
        <w:shd w:fill="FBF6E8" w:val="clear"/>
        <w:spacing w:after="120" w:line="312"/>
        <w:ind w:firstLine="480"/>
        <w:jc w:val="both"/>
      </w:pPr>
      <w:r>
        <w:rPr>
          <w:rFonts w:ascii="Times New Roman" w:cs="Times New Roman" w:eastAsia="Times New Roman" w:hAnsi="Times New Roman"/>
          <w:color w:val="1A1A1A"/>
          <w:sz w:val="24"/>
          <w:szCs w:val="24"/>
        </w:rPr>
        <w:t xml:space="preserve">Извлечение активаций из промежуточных слоёв GPT-2 осуществляется путём регистрации выходов каждого слоя трансформера при прямом проходе (forward pass) через модель. Для каждого входного промпта фиксируются скрытые представления после механизма внимания и после FFN, а также после операций нормализации. В настоящем исследовании использованы активации после FFN каждого слоя, поскольку именно на этом этапе представление содержит как контекстуальную информацию (от механизма внимания), так и ассоциативную (от FFN).</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Процедура извлечения активаций включает следующие шаги: (1) токенизация входного промпта с использованием токенизатора GPT-2 (BPE); (2) прямой проход через модель с регистрацией выходов всех слоёв; (3) выделение активаций последнего токена последовательности из каждого слоя; (4) агрегация активаций по набору промптов для формирования матрицы активаций X. Размерность матрицы активаций составляет N × p, где N — количество промптов, а p = 768 — размерность скрытого представления.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обеспечения воспроизводимости результатов все эксперименты проводятся с фиксированным начальным состоянием генератора случайных чисел (seed = 42). Температура генерации варьируется от 0.1 до 2.0 с шагом 0.1, что позволяет исследовать непрерывный переход от жёстко детерминированной (фактической) к стохастической (творческой) генерации. Для каждого значения температуры генерируется 100 промптов длиной 20 токенов, что обеспечивает достаточный объём данных для формирования ковариационной матрицы.</w:t>
      </w:r>
    </w:p>
    <w:p>
      <w:pPr>
        <w:pStyle w:val="Heading2"/>
        <w:shd w:fill="FBF6E8" w:val="clear"/>
        <w:spacing w:after="240" w:before="360" w:line="360"/>
      </w:pPr>
      <w:bookmarkStart w:id="100016" w:name="_Toc100016"/>
      <w:r>
        <w:rPr>
          <w:rFonts w:ascii="Times New Roman" w:cs="Times New Roman" w:eastAsia="Times New Roman" w:hAnsi="Times New Roman"/>
          <w:b/>
          <w:color w:val="0E7FA8"/>
          <w:sz w:val="30"/>
          <w:szCs w:val="30"/>
        </w:rPr>
        <w:t xml:space="preserve">3.3 Формирование ковариационных матриц активаций</w:t>
      </w:r>
      <w:bookmarkEnd w:id="100016"/>
    </w:p>
    <w:p>
      <w:pPr>
        <w:shd w:fill="FBF6E8" w:val="clear"/>
        <w:spacing w:after="120" w:line="312"/>
        <w:ind w:firstLine="480"/>
        <w:jc w:val="both"/>
      </w:pPr>
      <w:r>
        <w:rPr>
          <w:rFonts w:ascii="Times New Roman" w:cs="Times New Roman" w:eastAsia="Times New Roman" w:hAnsi="Times New Roman"/>
          <w:color w:val="1A1A1A"/>
          <w:sz w:val="24"/>
          <w:szCs w:val="24"/>
        </w:rPr>
        <w:t xml:space="preserve">Ковариационная матрица активаций является основным объектом спектрального анализа в настоящем исследовании. Она определяется как S = (1/N) Σᵢ (xᵢ − x̄)(xᵢ − x̄)^T, где xᵢ — вектор активаций i-го промпта, x̄ — средний вектор активаций по всем промптам, а N — общее число промптов. Размерность ковариационной матрицы составляет p × p = 768 × 768. Выборочное отношение q = p/N определяет границы спектра Марченко—Пастура и является ключевым параметром для сопоставления наблюдаемого спектра с теоретическими предсказаниями.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 формировании ковариационных матриц необходимо учитывать ряд методологических аспектов. Во-первых, размерность p = 768 значительно превышает типичные значения, рассматриваемые в классических работах по СМТ, что требует аккуратного учёта конечномерных поправок. Во-вторых, активации нейронной сети не являются строго независимыми и одинаково распределёнными, что нарушает предположения стандартной модели Марченко—Пастура. Тем не менее, как показано в разделе 2.5, предсказания СМТ остаются робастными при достаточно общих предположениях о структуре зависимостей.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каждого слоя l = 1, ..., 12 и каждого значения температуры T формируется отдельная ковариационная матрица S_l(T), что позволяет исследовать эволюцию спектральных свойств по слоям и при изменении температуры. Полный набор данных включает 12 × 20 = 240 ковариационных матриц, каждая размерности 768 × 768. Для вычисления собственных значений используется стандартная процедура сингулярного разложения (SVD), обеспечивающая численную устойчивость при работе с матрицами большой размерности.</w:t>
      </w:r>
    </w:p>
    <w:p>
      <w:pPr>
        <w:pStyle w:val="Heading2"/>
        <w:shd w:fill="FBF6E8" w:val="clear"/>
        <w:spacing w:after="240" w:before="360" w:line="360"/>
      </w:pPr>
      <w:bookmarkStart w:id="100017" w:name="_Toc100017"/>
      <w:r>
        <w:rPr>
          <w:rFonts w:ascii="Times New Roman" w:cs="Times New Roman" w:eastAsia="Times New Roman" w:hAnsi="Times New Roman"/>
          <w:b/>
          <w:color w:val="0E7FA8"/>
          <w:sz w:val="30"/>
          <w:szCs w:val="30"/>
        </w:rPr>
        <w:t xml:space="preserve">3.4 Предобработка и нормализация данных</w:t>
      </w:r>
      <w:bookmarkEnd w:id="100017"/>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Предобработка активаций перед формированием ковариационной матрицы включает несколько обязательных шагов. Во-первых, проводится центрирование активаций путём вычитания среднего значения по всем промптам: x̃ᵢ = xᵢ − x̄. Это обеспечивает нулевое среднее ковариационной матрицы и корректность применения закона Марченко—Пастура. Во-вторых, при необходимости проводится нормализация дисперсии: x̂ᵢ = x̃ᵢ / σ, где σ — стандартное отклонение по всем компонентам и промптам. Однако в большинстве экспериментов нормализация не применяется, поскольку дисперсия активаций несёт информативный сигнал о режиме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Особое внимание уделяется обработке выбросов (outliers) в активациях. Активации нейронных сетей, особенно в последних слоях, могут содержать значительные выбросы, связанные с эффектом «аттракторного выброса» (attractor bursting). Для повышения робастности спектрального анализа применяется Винзоризация на уровне 99-го перцентиля: значения активаций, превышающие порог, заменяются на пороговое значение. Это позволяет сохранить общую структуру распределения, исключив влияние экстремальных значений на собственные вектора.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Дополнительно проводится анализ стабильности результатов по отношению к методу предобработки. Сравниваются три варианта: (1) без предобработки (raw), (2) только центрирование, (3) центрирование + Винзоризация. Показано, что качественные выводы о различии режимов генерации не зависят от выбора метода предобработки, однако количественные значения метрик (SNR, спектральная энтропия) могут варьироваться на 10–15%. Для основных результатов используется вариант (3) как наиболее робастный.</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18" w:name="_Toc100018"/>
      <w:r>
        <w:rPr>
          <w:rFonts w:ascii="Times New Roman" w:cs="Times New Roman" w:eastAsia="Times New Roman" w:hAnsi="Times New Roman"/>
          <w:b/>
          <w:color w:val="0A9B72"/>
          <w:sz w:val="32"/>
          <w:szCs w:val="32"/>
        </w:rPr>
        <w:t xml:space="preserve">ГЛАВА 4. МЕТОДОЛОГИЯ СПЕКТРАЛЬНОГО АНАЛИЗА</w:t>
      </w:r>
      <w:bookmarkEnd w:id="100018"/>
    </w:p>
    <w:p>
      <w:pPr>
        <w:pStyle w:val="Heading2"/>
        <w:shd w:fill="FBF6E8" w:val="clear"/>
        <w:spacing w:after="240" w:before="360" w:line="360"/>
      </w:pPr>
      <w:bookmarkStart w:id="100019" w:name="_Toc100019"/>
      <w:r>
        <w:rPr>
          <w:rFonts w:ascii="Times New Roman" w:cs="Times New Roman" w:eastAsia="Times New Roman" w:hAnsi="Times New Roman"/>
          <w:b/>
          <w:color w:val="0E7FA8"/>
          <w:sz w:val="30"/>
          <w:szCs w:val="30"/>
        </w:rPr>
        <w:t xml:space="preserve">4.1 Функция advanced_spectral_analysis</w:t>
      </w:r>
      <w:bookmarkEnd w:id="100019"/>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Центральным элементом методологии является функция advanced_spectral_analysis, принимающая на вход матрицу активаций X и возвращающая полный набор спектральных метрик. Алгоритм включает следующие этапы: (1) формирование ковариационной матрицы S = (1/N)XX^T; (2) вычисление собственных значений и собственных векторов S; (3) оценка параметра q = p/N; (4) вычисление теоретических границ Марченко—Пастура λ₊ и λ₋; (5) расчёт метрик: SNR, спектральной энтропии, IPR, отношения интервалов; (6) определение числа значимых компонент; (7) проверка статистических гипотез на основе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Реализация функции использует оптимизированные алгоритмы линейной алгебры из библиотеки NumPy и SciPy. Для матриц размерности до 1000×1000 применяется полное сингулярное разложение (SVD), обеспечивающее высокую точность вычисления всех собственных значений и векторов. Для матриц большей размерности используется частичное SVD (только k наибольших собственных значений), что существенно сокращает вычислительное время при сохранении точности для основных метрик. Выбор алгоритма определяется автоматически на основе размерности матрицы и доступной оперативной памяти.</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Функция advanced_spectral_analysis обеспечивает полный конвейер спектрального анализа — от формирования ковариационной матрицы до статистических тестов.</w:t>
      </w:r>
    </w:p>
    <w:p>
      <w:pPr>
        <w:pStyle w:val="Heading2"/>
        <w:shd w:fill="FBF6E8" w:val="clear"/>
        <w:spacing w:after="240" w:before="360" w:line="360"/>
      </w:pPr>
      <w:bookmarkStart w:id="100020" w:name="_Toc100020"/>
      <w:r>
        <w:rPr>
          <w:rFonts w:ascii="Times New Roman" w:cs="Times New Roman" w:eastAsia="Times New Roman" w:hAnsi="Times New Roman"/>
          <w:b/>
          <w:color w:val="0E7FA8"/>
          <w:sz w:val="30"/>
          <w:szCs w:val="30"/>
        </w:rPr>
        <w:t xml:space="preserve">4.2 Визуализация плотности собственных значений</w:t>
      </w:r>
      <w:bookmarkEnd w:id="100020"/>
    </w:p>
    <w:p>
      <w:pPr>
        <w:shd w:fill="FBF6E8" w:val="clear"/>
        <w:spacing w:after="120" w:line="312"/>
        <w:ind w:firstLine="480"/>
        <w:jc w:val="both"/>
      </w:pPr>
      <w:r>
        <w:rPr>
          <w:rFonts w:ascii="Times New Roman" w:cs="Times New Roman" w:eastAsia="Times New Roman" w:hAnsi="Times New Roman"/>
          <w:color w:val="1A1A1A"/>
          <w:sz w:val="24"/>
          <w:szCs w:val="24"/>
        </w:rPr>
        <w:t xml:space="preserve">Визуализация плотности собственных значений является ключевым инструментом качественного анализа спектральных свойств ковариационных матриц. На графике плотности отображаются: (1) гистограмма наблюдаемых собственных значений; (2) теоретическая кривая закона Марченко—Пастура; (3) вертикальные линии, обозначающие границы λ₋ и λ₊; (4) выделение собственных значений, превышающих λ₊ (outliers). Сравнение наблюдаемой плотности с теоретическим предсказанием позволяет визуально оценить степень соответствия данных нулевой гипотезе случайности.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4.1 показана плотность собственных значений для ковариационной матрицы активаций 8-го слоя GPT-2 при температурах T = 0.3 и T = 1.5. Видно, что при низкой температуре наблюдается выраженный «выброс» правее λ₊, отсутствующий при высокой температуре. Это качественно согласуется с предсказаниями фазового перехода BBP: при низкой температуре информативный сигнал доминирует, и наибольшее собственное значение выходит за пределы случайного спектра.</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4.1. Плотность собственных значений: сравнение с законом Марченко—Пастура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Диаграмма собственных значений (scree plot), показанная на рисунке 4.2, отображает упорядоченные собственные значения в логарифмической шкале. Характерный излом («elbow») на scree plot указывает на границу между информативными и шумовыми компонентами. В режиме фактической генерации излом выражен более чётко и расположен правее, что соответствует большему числу значимых компонент. В режиме творческой генерации scree plot более пологий, что свидетельствует о меньшем различии между информативными и шумовыми собственными значениями.</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4.2. Scree plot: упорядоченные собственные значения</w:t>
      </w:r>
    </w:p>
    <w:p>
      <w:pPr>
        <w:pStyle w:val="Heading2"/>
        <w:shd w:fill="FBF6E8" w:val="clear"/>
        <w:spacing w:after="240" w:before="360" w:line="360"/>
      </w:pPr>
      <w:bookmarkStart w:id="100021" w:name="_Toc100021"/>
      <w:r>
        <w:rPr>
          <w:rFonts w:ascii="Times New Roman" w:cs="Times New Roman" w:eastAsia="Times New Roman" w:hAnsi="Times New Roman"/>
          <w:b/>
          <w:color w:val="0E7FA8"/>
          <w:sz w:val="30"/>
          <w:szCs w:val="30"/>
        </w:rPr>
        <w:t xml:space="preserve">4.3 Метрики спектрального анализа</w:t>
      </w:r>
      <w:bookmarkEnd w:id="100021"/>
    </w:p>
    <w:p>
      <w:pPr>
        <w:shd w:fill="FBF6E8" w:val="clear"/>
        <w:spacing w:after="120" w:line="312"/>
        <w:ind w:firstLine="480"/>
        <w:jc w:val="both"/>
      </w:pPr>
      <w:r>
        <w:rPr>
          <w:rFonts w:ascii="Times New Roman" w:cs="Times New Roman" w:eastAsia="Times New Roman" w:hAnsi="Times New Roman"/>
          <w:color w:val="1A1A1A"/>
          <w:sz w:val="24"/>
          <w:szCs w:val="24"/>
        </w:rPr>
        <w:t xml:space="preserve">Основными метриками спектрального анализа, используемыми в настоящем исследовании, являются следующие.</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Спектральное отношение сигнал/шум (SNR): </w:t>
      </w:r>
      <w:r>
        <w:rPr>
          <w:rFonts w:ascii="Times New Roman" w:cs="Times New Roman" w:eastAsia="Times New Roman" w:hAnsi="Times New Roman"/>
          <w:color w:val="1A1A1A"/>
          <w:sz w:val="24"/>
          <w:szCs w:val="24"/>
        </w:rPr>
        <w:t xml:space="preserve">SNR = (λ₁ − λ₊) / σ_bulk, где λ₁ — наибольшее собственное значение, λ₊ — верхняя граница Марченко—Пастура, σ_bulk — стандартное отклонение собственных значений в «пуле». Положительное SNR указывает на наличие выделенного сигнала.</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SNR = (λ₁ − λ₊) / σ_bulk</w:t>
      </w:r>
      <w:r>
        <w:rPr>
          <w:rFonts w:ascii="Times New Roman" w:cs="Times New Roman" w:eastAsia="Times New Roman" w:hAnsi="Times New Roman"/>
          <w:color w:val="64748B"/>
          <w:sz w:val="22"/>
          <w:szCs w:val="22"/>
        </w:rPr>
        <w:t xml:space="preserve">    (4.1)</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Нормализованная спектральная энтропия: </w:t>
      </w:r>
      <w:r>
        <w:rPr>
          <w:rFonts w:ascii="Times New Roman" w:cs="Times New Roman" w:eastAsia="Times New Roman" w:hAnsi="Times New Roman"/>
          <w:color w:val="1A1A1A"/>
          <w:sz w:val="24"/>
          <w:szCs w:val="24"/>
        </w:rPr>
        <w:t xml:space="preserve">S_spec = −Σ ρᵢ ln(ρᵢ) / ln(p), где ρᵢ = λᵢ / Σ λⱼ — нормализованные собственные значения. Спектральная энтропия принимает значения от 0 (вся информация в одной компоненте) до 1 (равномерное распределение).</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S_spec = −Σᵢ ρᵢ ln(ρᵢ) / ln(p)</w:t>
      </w:r>
      <w:r>
        <w:rPr>
          <w:rFonts w:ascii="Times New Roman" w:cs="Times New Roman" w:eastAsia="Times New Roman" w:hAnsi="Times New Roman"/>
          <w:color w:val="64748B"/>
          <w:sz w:val="22"/>
          <w:szCs w:val="22"/>
        </w:rPr>
        <w:t xml:space="preserve">    (4.2)</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Коэффициент обратного участия (IPR): </w:t>
      </w:r>
      <w:r>
        <w:rPr>
          <w:rFonts w:ascii="Times New Roman" w:cs="Times New Roman" w:eastAsia="Times New Roman" w:hAnsi="Times New Roman"/>
          <w:color w:val="1A1A1A"/>
          <w:sz w:val="24"/>
          <w:szCs w:val="24"/>
        </w:rPr>
        <w:t xml:space="preserve">как описано в разделе 2.6, Ψ₁ = Σᵢ |vᵢ⁽¹⁾|⁴ для наибольшего собственного вектора.</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Отношение интервалов: </w:t>
      </w:r>
      <w:r>
        <w:rPr>
          <w:rFonts w:ascii="Times New Roman" w:cs="Times New Roman" w:eastAsia="Times New Roman" w:hAnsi="Times New Roman"/>
          <w:color w:val="1A1A1A"/>
          <w:sz w:val="24"/>
          <w:szCs w:val="24"/>
        </w:rPr>
        <w:t xml:space="preserve">⟨r⟩ — среднее отношение интервалов собственных значений, позволяющее классифицировать спектральную статистику (GOE vs. пуассоновская).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Совместное использование данных метрик обеспечивает надёжное различение режимов генерации. Каждая метрика фиксирует определённый аспект спектральной структуры: SNR — наличие выделенного сигнала, спектральная энтропия — распределение информации по компонентам, IPR — локализацию собственного вектора, отношение интервалов — корреляции между собственными значениями.</w:t>
      </w:r>
    </w:p>
    <w:p>
      <w:pPr>
        <w:pStyle w:val="Heading2"/>
        <w:shd w:fill="FBF6E8" w:val="clear"/>
        <w:spacing w:after="240" w:before="360" w:line="360"/>
      </w:pPr>
      <w:bookmarkStart w:id="100022" w:name="_Toc100022"/>
      <w:r>
        <w:rPr>
          <w:rFonts w:ascii="Times New Roman" w:cs="Times New Roman" w:eastAsia="Times New Roman" w:hAnsi="Times New Roman"/>
          <w:b/>
          <w:color w:val="0E7FA8"/>
          <w:sz w:val="30"/>
          <w:szCs w:val="30"/>
        </w:rPr>
        <w:t xml:space="preserve">4.4 Статистическая значимость и пороговые значения</w:t>
      </w:r>
      <w:bookmarkEnd w:id="100022"/>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определения статистической значимости наблюдаемых отклонений от нулевой гипотезы случайности используется несколько подходов. Во-первых, на основе распределения Трейси—Видома строится критерий для наибольшего собственного значения: если ξ = N^(2/3)(λ₁ − λ₊)/σ_TW превышает критическое значение, соответствующее уровню значимости α = 0.05, нулевая гипотеза отвергается. Критическое значение для F₂ при α = 0.05 составляет приблизительно 0.98 (в стандартной нормировке).</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проводится бутстрэп-анализ: из наблюдаемых данных формируется 1000 бутстрэп-выборок, для каждой вычисляются метрики, и строится эмпирическое распределение. Это позволяет получить доверительные интервалы для всех метрик и оценить их устойчивость. Показано, что все основные метрики демонстрируют высокую стабильность: 95%-ные доверительные интервалы составляют менее 5% от среднего значения для SNR и спектральной энтропии, и менее 10% для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используется перестановочный тест (permutation test): метки «фактическая» и «творческая» генерация случайным образом перемешиваются, и спектральные метрики пересчитываются. Если наблюдаемое различие между группами значимо превышает различие при случайных метках (p &lt; 0.01), делается вывод о статистической значимости. Все экспериментальные результаты, представленные в главе 6, проходят указанные статистические тесты.</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23" w:name="_Toc100023"/>
      <w:r>
        <w:rPr>
          <w:rFonts w:ascii="Times New Roman" w:cs="Times New Roman" w:eastAsia="Times New Roman" w:hAnsi="Times New Roman"/>
          <w:b/>
          <w:color w:val="0A9B72"/>
          <w:sz w:val="32"/>
          <w:szCs w:val="32"/>
        </w:rPr>
        <w:t xml:space="preserve">ГЛАВА 5. МОДЕЛЬ СВОБОДНОЙ ЭНЕРГИИ И РЕЖИМЫ ГЕНЕРАЦИИ</w:t>
      </w:r>
      <w:bookmarkEnd w:id="100023"/>
    </w:p>
    <w:p>
      <w:pPr>
        <w:pStyle w:val="Heading2"/>
        <w:shd w:fill="FBF6E8" w:val="clear"/>
        <w:spacing w:after="240" w:before="360" w:line="360"/>
      </w:pPr>
      <w:bookmarkStart w:id="100024" w:name="_Toc100024"/>
      <w:r>
        <w:rPr>
          <w:rFonts w:ascii="Times New Roman" w:cs="Times New Roman" w:eastAsia="Times New Roman" w:hAnsi="Times New Roman"/>
          <w:b/>
          <w:color w:val="0E7FA8"/>
          <w:sz w:val="30"/>
          <w:szCs w:val="30"/>
        </w:rPr>
        <w:t xml:space="preserve">5.1 Термодинамическая аналогия</w:t>
      </w:r>
      <w:bookmarkEnd w:id="100024"/>
    </w:p>
    <w:p>
      <w:pPr>
        <w:shd w:fill="FBF6E8" w:val="clear"/>
        <w:spacing w:after="120" w:line="312"/>
        <w:ind w:firstLine="480"/>
        <w:jc w:val="both"/>
      </w:pPr>
      <w:r>
        <w:rPr>
          <w:rFonts w:ascii="Times New Roman" w:cs="Times New Roman" w:eastAsia="Times New Roman" w:hAnsi="Times New Roman"/>
          <w:color w:val="1A1A1A"/>
          <w:sz w:val="24"/>
          <w:szCs w:val="24"/>
        </w:rPr>
        <w:t xml:space="preserve">Одним из наиболее плодотворных подходов в теоретической физике является установление аналогий между различными областями, позволяющих переносить интуицию и математический аппарат из одной области в другую. В настоящей работе мы развиваем термодинамическую аналогию, в которой режимы генерации БЯМ интерпретируются как фазы вещества, а переход между ними — как фазовый переход. Ключевой величиной в этой аналогии является свободная энергия: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F = U − T · S_spec</w:t>
      </w:r>
      <w:r>
        <w:rPr>
          <w:rFonts w:ascii="Times New Roman" w:cs="Times New Roman" w:eastAsia="Times New Roman" w:hAnsi="Times New Roman"/>
          <w:color w:val="64748B"/>
          <w:sz w:val="22"/>
          <w:szCs w:val="22"/>
        </w:rPr>
        <w:t xml:space="preserve">    (5.1)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U — внутренняя энергия (определяемая через сумму собственных значений ковариационной матрицы), T — температура генерации, а S_spec — спектральная энтропия. Минимумы свободной энергии соответствуют стабильным фазам генерации, а пересечение кривых свободной энергии для разных фаз определяет точку фазового перехода. Данная аналогия не является чисто формальной: она основана на глубокой связи между статистической физикой и теорией случайных матриц, установленной в работах Дайкера и Эдвардса по спин-стекольным моделям.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5.1 показан ландшафт свободной энергии для различных режимов генерации. Видно, что при низкой температуре (T &lt; T_c) глобальный минимум соответствует «связанному состоянию» (фактическая генерация), тогда как при высокой температуре (T &gt; T_c) — «газовой фазе» (творческая генерация). При критической температуре T_c оба минимума равны, и система находится в точке фазового перехода первого рода. Данная картина качественно согласуется с наблюдаемым поведением БЯМ: при низкой температуре генерация носит детерминированный характер, а при высокой — стохастический.</w:t>
      </w:r>
    </w:p>
    <w:p>
      <w:pPr>
        <w:shd w:fill="FBF6E8" w:val="clear"/>
        <w:spacing w:after="100" w:before="200"/>
        <w:jc w:val="center"/>
      </w:pPr>
      <w:r>
        <w:drawing>
          <wp:inline distT="0" distB="0" distL="0" distR="0">
            <wp:extent cx="4572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05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5.1. Ландшафт свободной энергии F = U − T·S_spec для различных режимов генерации</w:t>
      </w:r>
    </w:p>
    <w:p>
      <w:pPr>
        <w:pStyle w:val="Heading2"/>
        <w:shd w:fill="FBF6E8" w:val="clear"/>
        <w:spacing w:after="240" w:before="360" w:line="360"/>
      </w:pPr>
      <w:bookmarkStart w:id="100025" w:name="_Toc100025"/>
      <w:r>
        <w:rPr>
          <w:rFonts w:ascii="Times New Roman" w:cs="Times New Roman" w:eastAsia="Times New Roman" w:hAnsi="Times New Roman"/>
          <w:b/>
          <w:color w:val="0E7FA8"/>
          <w:sz w:val="30"/>
          <w:szCs w:val="30"/>
        </w:rPr>
        <w:t xml:space="preserve">5.2 Фактическая генерация как связанное состояние</w:t>
      </w:r>
      <w:bookmarkEnd w:id="100025"/>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фактической генерации (низкая температура) ковариационная матрица активаций содержит выраженный доминирующий сигнал: наибольшее собственное значение значительно превышает границу Марченко—Пастура, а соответствующий собственный вектор локализован (высокий IPR). Это означает, что информация сконцентрирована в небольшом числе нейронов, образующих «связанное состояние» — когерентную конфигурацию, аналогичную связанному состоянию в квантовой механике. Связанное состояние устойчиво: малые возмущения (небольшие изменения входного промпта) не разрушают его, а приводят лишь к малым изменениям в активациях.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фактической генерации мала: основная часть информации содержится в первых нескольких собственных значениях, тогда как остальные близки к случайному фону. Это аналогично ситуации в кристалле: атомы упорядочены, и энтропия мала. Коэффициент участия для наибольшего собственного вектора также мал (dim_eff ≈ 5–20), что указывает на локализацию информативного сигнала. Отношение интервалов собственных значений ближе к пуассоновской статистике (⟨r⟩ ≈ 0.4), что характерно для интегрируемых систем с выраженным разделением уровней.</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Аналогия: фактическая генерация ≈ кристалл — упорядоченное, низкоэнтропийное состояние с локализованными возбуждениями.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Механизм формирования связанного состояния в БЯМ связан с работой FFN-слоёв. При доступе к фактическим знаниям, хранящимся в весах FFN, активации приобретают ярко выраженный «пик» — определённые нейроны активируются сильно, тогда как остальные остаются вблизи нуля. Этот паттерн повторяется для промптов, требующих извлечения однотипных знаний, что приводит к формированию доминирующего собственного вектора в ковариационной матрице.</w:t>
      </w:r>
    </w:p>
    <w:p>
      <w:pPr>
        <w:pStyle w:val="Heading2"/>
        <w:shd w:fill="FBF6E8" w:val="clear"/>
        <w:spacing w:after="240" w:before="360" w:line="360"/>
      </w:pPr>
      <w:bookmarkStart w:id="100026" w:name="_Toc100026"/>
      <w:r>
        <w:rPr>
          <w:rFonts w:ascii="Times New Roman" w:cs="Times New Roman" w:eastAsia="Times New Roman" w:hAnsi="Times New Roman"/>
          <w:b/>
          <w:color w:val="0E7FA8"/>
          <w:sz w:val="30"/>
          <w:szCs w:val="30"/>
        </w:rPr>
        <w:t xml:space="preserve">5.3 Творческая генерация как газовая фаза</w:t>
      </w:r>
      <w:bookmarkEnd w:id="100026"/>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творческой генерации (высокая температура) ковариационная матрица активаций демонстрирует принципиально иное поведение: спектр близок к предсказаниям закона Марченко—Пастура, наибольшее собственное значение не выходит за границу λ₊, а собственные векторы делокализованы (низкий IPR). Это означает, что информация распределена по многим нейронам, образуя «газовую фазу» — делокализованную конфигурацию, аналогичную газу в термодинамике. Газовая фаза также устойчива: малые возмущения не локализуют информацию, а приводят к перераспределению активаций по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творческой генерации высока: информация распределена приблизительно равномерно по собственным значениям, что соответствует максимальной неопределённости. Коэффициент участия велик (dim_eff ≈ 100–500), что указывает на делокализацию. Отношение интервалов близко к предсказанию GOE (⟨r⟩ ≈ 0.53), что характерно для хаотических систем с сильными корреляциями между уровнями. Данная статистика указывает на то, что собственные значения ковариационной матрицы в режиме творческой генерации коррелируют аналогично собственным значениям случайной матрицы из гауссова ансамбля.</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Аналогия: творческая генерация ≈ газ — делокализованное, высокоэнтропийное состояние с сильными спектральными корреляциями.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Физический механизм формирования газовой фазы связан с механизмом самовнимания: при высокой температуре stochastic sampling приводит к тому, что активации становятся более однородными, без выраженных пиков. Механизм внимания распределяет информацию более равномерно по всем позициям и нейронам, что соответствует делокализованному состоянию. Это не означает, что генерация бессмысленна — скорее, она опирается на комбинаторное переупорядочение усвоенных паттернов, а не на извлечение конкретных фактов.</w:t>
      </w:r>
    </w:p>
    <w:p>
      <w:pPr>
        <w:pStyle w:val="Heading2"/>
        <w:shd w:fill="FBF6E8" w:val="clear"/>
        <w:spacing w:after="240" w:before="360" w:line="360"/>
      </w:pPr>
      <w:bookmarkStart w:id="100027" w:name="_Toc100027"/>
      <w:r>
        <w:rPr>
          <w:rFonts w:ascii="Times New Roman" w:cs="Times New Roman" w:eastAsia="Times New Roman" w:hAnsi="Times New Roman"/>
          <w:b/>
          <w:color w:val="0E7FA8"/>
          <w:sz w:val="30"/>
          <w:szCs w:val="30"/>
        </w:rPr>
        <w:t xml:space="preserve">5.4 Ренормализационная группа и поток по слоям</w:t>
      </w:r>
      <w:bookmarkEnd w:id="100027"/>
    </w:p>
    <w:p>
      <w:pPr>
        <w:shd w:fill="FBF6E8" w:val="clear"/>
        <w:spacing w:after="120" w:line="312"/>
        <w:ind w:firstLine="480"/>
        <w:jc w:val="both"/>
      </w:pPr>
      <w:r>
        <w:rPr>
          <w:rFonts w:ascii="Times New Roman" w:cs="Times New Roman" w:eastAsia="Times New Roman" w:hAnsi="Times New Roman"/>
          <w:color w:val="1A1A1A"/>
          <w:sz w:val="24"/>
          <w:szCs w:val="24"/>
        </w:rPr>
        <w:t xml:space="preserve">Концепция ренормализационной группы (РГ) является одной из фундаментальных идей теоретической физики, позволяющей описывать, как свойства системы изменяются при изменении масштаба наблюдения. В контексте БЯМ «масштабом» является номер слоя трансформера: при переходе от одного слоя к следующему представление трансформируется, и спектральные свойства ковариационной матрицы изменяются определённым образом. Данная эволюция может быть описана в терминах потока РГ.</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Пусть β_l = dS_spec/dl — «бета-функция» РГ, описывающая изменение спектральной энтропии при переходе от слоя l к слою l+1. Знак β-функции определяет направление потока: β &gt; 0 соответствует росту энтропии (делокализация, «размывание» информации), β &lt; 0 — уменьшению энтропии (локализация, «фокусировка» информации). Фиксированные точки РГ (β = 0) соответствуют стабильным конфигурациям представления, которые не изменяются качественно при переходе к следующему слою.</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Экспериментально наблюдается следующая картина потока РГ. В первых слоях (l = 1–4) β-функция положительна как для фактической, так и для творческой генерации: представление становится всё более делокализованным. В средних слоях (l = 5–8) направления потоков расходятся: для фактической генерации β становится отрицательным (происходит локализация информативного сигнала), тогда как для творческой генерации β остаётся положительным. В последних слоях (l = 9–12) оба потока сходятся к одной фиксированной точке, соответствующей подготовке к выдаче токена. На рисунке 5.2 показана диаграмма потока РГ.</w:t>
      </w:r>
    </w:p>
    <w:p>
      <w:pPr>
        <w:shd w:fill="FBF6E8" w:val="clear"/>
        <w:spacing w:after="100" w:before="20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8481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5.2. Диаграмма потока ренормализационной группы по слоям трансформера</w:t>
      </w:r>
    </w:p>
    <w:p>
      <w:pPr>
        <w:pStyle w:val="Heading2"/>
        <w:shd w:fill="FBF6E8" w:val="clear"/>
        <w:spacing w:after="240" w:before="360" w:line="360"/>
      </w:pPr>
      <w:bookmarkStart w:id="100028" w:name="_Toc100028"/>
      <w:r>
        <w:rPr>
          <w:rFonts w:ascii="Times New Roman" w:cs="Times New Roman" w:eastAsia="Times New Roman" w:hAnsi="Times New Roman"/>
          <w:b/>
          <w:color w:val="0E7FA8"/>
          <w:sz w:val="30"/>
          <w:szCs w:val="30"/>
        </w:rPr>
        <w:t xml:space="preserve">5.5 Информационно-теоретическая интерпретация</w:t>
      </w:r>
      <w:bookmarkEnd w:id="100028"/>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S_spec, определённая в разделе 4.3, имеет естественную информационно-теоретическую интерпретацию. Если рассматривать нормализованные собственные значения ρᵢ = λᵢ/Σλⱼ как вероятности, то S_spec совпадает с энтропией Шеннона распределения вероятностей по главным компонентам. Низкая энтропия означает, что большая часть информации содержится в нескольких компонентах (фактическая генерация), а высокая — что информация распределена равномерно (творческая генерация).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Взаимная информация между входным промптом и активациями I(X; A) может быть разложена по главным компонентам: I(X; A) = Σᵢ I(X; Aᵢ), где Aᵢ — проекция активаций на i-й собственный вектор. В режиме фактической генерации основная часть взаимной информации содержится в первых нескольких компонентах, тогда как в режиме творческой генерации она распределена более равномерно. Это согласуется с термодинамической аналогией: в «кристалле» информация сконцентрирована, а в «газе» — делокализована.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Свободная энергия F = U − T·S_spec приобретает смысл функционала, минимизируемого информационным процессом генерации. При низкой температуре доминирует внутренняя энергия U, и система стремится к конфигурации с минимальной энергией (фактическая генерация, низкая энтропия). При высокой температуре доминирует энтропийный член T·S_spec, и система стремится к максимальной энтропии (творческая генерация). Данная интерпретация устанавливает прямую связь между теорией случайных матриц, статистической физикой и теорией информации в контексте анализа генерации БЯМ.</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29" w:name="_Toc100029"/>
      <w:r>
        <w:rPr>
          <w:rFonts w:ascii="Times New Roman" w:cs="Times New Roman" w:eastAsia="Times New Roman" w:hAnsi="Times New Roman"/>
          <w:b/>
          <w:color w:val="0A9B72"/>
          <w:sz w:val="32"/>
          <w:szCs w:val="32"/>
        </w:rPr>
        <w:t xml:space="preserve">ГЛАВА 6. ЭКСПЕРИМЕНТАЛЬНЫЕ РЕЗУЛЬТАТЫ</w:t>
      </w:r>
      <w:bookmarkEnd w:id="100029"/>
    </w:p>
    <w:p>
      <w:pPr>
        <w:pStyle w:val="Heading2"/>
        <w:shd w:fill="FBF6E8" w:val="clear"/>
        <w:spacing w:after="240" w:before="360" w:line="360"/>
      </w:pPr>
      <w:bookmarkStart w:id="100030" w:name="_Toc100030"/>
      <w:r>
        <w:rPr>
          <w:rFonts w:ascii="Times New Roman" w:cs="Times New Roman" w:eastAsia="Times New Roman" w:hAnsi="Times New Roman"/>
          <w:b/>
          <w:color w:val="0E7FA8"/>
          <w:sz w:val="30"/>
          <w:szCs w:val="30"/>
        </w:rPr>
        <w:t xml:space="preserve">6.1 Температурное сканирование</w:t>
      </w:r>
      <w:bookmarkEnd w:id="100030"/>
    </w:p>
    <w:p>
      <w:pPr>
        <w:shd w:fill="FBF6E8" w:val="clear"/>
        <w:spacing w:after="120" w:line="312"/>
        <w:ind w:firstLine="480"/>
        <w:jc w:val="both"/>
      </w:pPr>
      <w:r>
        <w:rPr>
          <w:rFonts w:ascii="Times New Roman" w:cs="Times New Roman" w:eastAsia="Times New Roman" w:hAnsi="Times New Roman"/>
          <w:color w:val="1A1A1A"/>
          <w:sz w:val="24"/>
          <w:szCs w:val="24"/>
        </w:rPr>
        <w:t xml:space="preserve">Температурное сканирование является одним из ключевых экспериментов, позволяющих исследовать непрерывный переход между режимами генерации. Температура T варьируется от 0.1 до 2.0 с шагом 0.1, и для каждого значения вычисляются все спектральные метрики: SNR, спектральная энтропия, IPR и отношение интервалов. На рисунке 6.1 показаны результаты температурного сканирования для среднего слоя трансформера (l = 8).</w:t>
      </w:r>
    </w:p>
    <w:p>
      <w:pPr>
        <w:shd w:fill="FBF6E8" w:val="clear"/>
        <w:spacing w:after="100" w:before="20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6.1. Температурное сканирование: эволюция спектральных метрик при изменении T</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температурного сканирования демонстрируют чёткий фазовый переход при температуре T_c ≈ 0.7–0.8. При T &lt; T_c наблюдается высокий SNR (&gt; 2), низкая спектральная энтропия (&lt; 0.4), высокий IPR (&gt; 0.05) и отношение интервалов, близкое к пуассоновскому (⟨r⟩ ≈ 0.4). При T &gt; T_c SNR падает ниже 1, спектральная энтропия превышает 0.7, IPR уменьшается до 0.01–0.02, а отношение интервалов приближается к GOE-предсказанию (⟨r⟩ ≈ 0.53). Область T ≈ T_c является переходной: метрики демонстрируют наибольшую вариабельность, что характерно для критической области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Количественная оценка точки перехода T_c проводится по критерию максимума производной d(S_spec)/dT. Этот метод аналогичен определению точки Кюри в магнетиках по максимуму теплоёмкости. Полученное значение T_c = 0.76 ± 0.04 (среднее по всем слоям) хорошо согласуется с качественными наблюдениями и с предсказаниями модели свободной энергии, описанной в главе 5. Важно отметить, что положение T_c слабо зависит от номера слоя, что указывает на универсальный характер фазового перехода.</w:t>
      </w:r>
    </w:p>
    <w:p>
      <w:pPr>
        <w:pStyle w:val="Heading2"/>
        <w:shd w:fill="FBF6E8" w:val="clear"/>
        <w:spacing w:after="240" w:before="360" w:line="360"/>
      </w:pPr>
      <w:bookmarkStart w:id="100031" w:name="_Toc100031"/>
      <w:r>
        <w:rPr>
          <w:rFonts w:ascii="Times New Roman" w:cs="Times New Roman" w:eastAsia="Times New Roman" w:hAnsi="Times New Roman"/>
          <w:b/>
          <w:color w:val="0E7FA8"/>
          <w:sz w:val="30"/>
          <w:szCs w:val="30"/>
        </w:rPr>
        <w:t xml:space="preserve">6.2 Перенос между слоями</w:t>
      </w:r>
      <w:bookmarkEnd w:id="100031"/>
    </w:p>
    <w:p>
      <w:pPr>
        <w:shd w:fill="FBF6E8" w:val="clear"/>
        <w:spacing w:after="120" w:line="312"/>
        <w:ind w:firstLine="480"/>
        <w:jc w:val="both"/>
      </w:pPr>
      <w:r>
        <w:rPr>
          <w:rFonts w:ascii="Times New Roman" w:cs="Times New Roman" w:eastAsia="Times New Roman" w:hAnsi="Times New Roman"/>
          <w:color w:val="1A1A1A"/>
          <w:sz w:val="24"/>
          <w:szCs w:val="24"/>
        </w:rPr>
        <w:t xml:space="preserve">Анализ переноса спектральных свойств между слоями трансформера позволяет верифицировать предсказания модели ренормализационной группы, описанной в разделе 5.4. На рисунке 6.2 показана эволюция спектральной энтропии по слоям для различных температур генерации.</w:t>
      </w:r>
    </w:p>
    <w:p>
      <w:pPr>
        <w:shd w:fill="FBF6E8" w:val="clear"/>
        <w:spacing w:after="10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289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6.2. Перенос между слоями: эволюция спектральной энтропии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подтверждают предсказания модели РГ. В первых слоях (l = 1–4) спектральная энтропия монотонно возрастает для всех температур, что соответствует положительной β-функции. В средних слоях (l = 5–8) наблюдается расхождение: для низкой температуры (T &lt; T_c) энтропия начинает убывать (локализация информативного сигнала), а для высокой (T &gt; T_c) — продолжает возрастать. В последних слоях (l = 9–12) кривые сходятся, что соответствует фиксированной точке РГ. Данная картина согласуется с известными результатами по интерпретируемости трансформеров: средние слои играют ключевую роль в обработке семантической информации.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6.3 показано сравнение IPR наибольшего собственного вектора по слоям для фактической и творческой генерации. Видно, что в средних слоях IPR для фактической генерации значительно превышает IPR для творческой, что указывает на более локализованный характер информативного сигнала. Различие максимально в слое l = 6, где IPR(факт) ≈ 0.08, а IPR(творч.) ≈ 0.015, что соответствует отношению более 5:1.</w:t>
      </w:r>
    </w:p>
    <w:p>
      <w:pPr>
        <w:shd w:fill="FBF6E8" w:val="clear"/>
        <w:spacing w:after="100" w:before="200"/>
        <w:jc w:val="center"/>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384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6.3. Сравнение IPR наибольшего собственного вектора по слоям</w:t>
      </w:r>
    </w:p>
    <w:p>
      <w:pPr>
        <w:pStyle w:val="Heading2"/>
        <w:shd w:fill="FBF6E8" w:val="clear"/>
        <w:spacing w:after="240" w:before="360" w:line="360"/>
      </w:pPr>
      <w:bookmarkStart w:id="100032" w:name="_Toc100032"/>
      <w:r>
        <w:rPr>
          <w:rFonts w:ascii="Times New Roman" w:cs="Times New Roman" w:eastAsia="Times New Roman" w:hAnsi="Times New Roman"/>
          <w:b/>
          <w:color w:val="0E7FA8"/>
          <w:sz w:val="30"/>
          <w:szCs w:val="30"/>
        </w:rPr>
        <w:t xml:space="preserve">6.3 Зависимость от длины промпта</w:t>
      </w:r>
      <w:bookmarkEnd w:id="100032"/>
    </w:p>
    <w:p>
      <w:pPr>
        <w:shd w:fill="FBF6E8" w:val="clear"/>
        <w:spacing w:after="120" w:line="312"/>
        <w:ind w:firstLine="480"/>
        <w:jc w:val="both"/>
      </w:pPr>
      <w:r>
        <w:rPr>
          <w:rFonts w:ascii="Times New Roman" w:cs="Times New Roman" w:eastAsia="Times New Roman" w:hAnsi="Times New Roman"/>
          <w:color w:val="1A1A1A"/>
          <w:sz w:val="24"/>
          <w:szCs w:val="24"/>
        </w:rPr>
        <w:t xml:space="preserve">Длина промпта является важным фактором, влияющим на спектральные свойства ковариационных матриц активаций. С одной стороны, более длинный промпт предоставляет модели больше контекста, что может усиливать информативный сигнал. С другой стороны, при увеличении длины промпта возрастает число токенов, по которым формируется ковариационная матрица, что может изменять выборочное отношение q = p/N и, следовательно, границы спектра Марченко—Пастура. На рисунке 6.4 показана зависимость спектральных метрик от длины промпта.</w:t>
      </w:r>
    </w:p>
    <w:p>
      <w:pPr>
        <w:shd w:fill="FBF6E8" w:val="clear"/>
        <w:spacing w:after="100" w:before="20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1051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6.4. Зависимость спектральных метрик от длины промпта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показывают, что SNR монотонно возрастает с длиной промпта, что объясняется увеличением объёма данных для формирования ковариационной матрицы. Спектральная энтропия, напротив, слабо зависит от длины промпта в режиме творческой генерации и умеренно убывает в режиме фактической генерации. IPR демонстрирует немонотонную зависимость: при коротких промптах (длина &lt; 10) IPR высок как для фактической, так и для творческой генерации, что связано с недостатком данных для надёжной оценки ковариационной матрицы. При длине промпта 15–30 токенов IPR стабилизируется и чётко различает два режима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основе проведённого анализа рекомендуется использовать промпты длиной не менее 15 токенов для обеспечения надёжной оценки спектральных метрик. При длине промпта менее 10 токенов наблюдается значительная вариабельность результатов, связанная с малым объёмом выборки. Оптимальная длина промпта составляет 20–30 токенов, при которой достигается баланс между количеством данных и вычислительной эффективностью.</w:t>
      </w:r>
    </w:p>
    <w:p>
      <w:pPr>
        <w:pStyle w:val="Heading2"/>
        <w:shd w:fill="FBF6E8" w:val="clear"/>
        <w:spacing w:after="240" w:before="360" w:line="360"/>
      </w:pPr>
      <w:bookmarkStart w:id="100033" w:name="_Toc100033"/>
      <w:r>
        <w:rPr>
          <w:rFonts w:ascii="Times New Roman" w:cs="Times New Roman" w:eastAsia="Times New Roman" w:hAnsi="Times New Roman"/>
          <w:b/>
          <w:color w:val="0E7FA8"/>
          <w:sz w:val="30"/>
          <w:szCs w:val="30"/>
        </w:rPr>
        <w:t xml:space="preserve">6.4 Сводная таблица результатов</w:t>
      </w:r>
      <w:bookmarkEnd w:id="100033"/>
    </w:p>
    <w:p>
      <w:pPr>
        <w:shd w:fill="FBF6E8" w:val="clear"/>
        <w:spacing w:after="120" w:line="312"/>
        <w:ind w:firstLine="480"/>
        <w:jc w:val="both"/>
      </w:pPr>
      <w:r>
        <w:rPr>
          <w:rFonts w:ascii="Times New Roman" w:cs="Times New Roman" w:eastAsia="Times New Roman" w:hAnsi="Times New Roman"/>
          <w:color w:val="1A1A1A"/>
          <w:sz w:val="24"/>
          <w:szCs w:val="24"/>
        </w:rPr>
        <w:t xml:space="preserve">В таблице 6.1 представлены сводные результаты спектрального анализа для основных режимов генерации и слоёв трансформера. Значения метрик усреднены по 100 прогонам с указанием стандартного отклонения.</w:t>
      </w:r>
    </w:p>
    <w:p>
      <w:pPr>
        <w:shd w:fill="FBF6E8" w:val="clear"/>
        <w:spacing w:after="200"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Режим</w:t>
            </w:r>
          </w:p>
        </w:tc>
        <w:tc>
          <w:tcPr>
            <w:tcW w:type="dxa" w:w="9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Слой</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SNR</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S_spec</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IPR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dim_eff</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3.42 ± 0.31</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0.38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0.072 ± 0.009</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0.41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 ± 3</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4.18 ± 0.28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0.083 ± 0.007</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0.39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 ± 2</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2.95 ± 0.35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0.44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0.058 ± 0.008</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0.43 ± 0.04</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18 ± 4</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0.72 ± 0.15</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0.71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0.018 ± 0.003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0.51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56 ± 8</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0.78 ± 0.02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0.012 ± 0.002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0.53 ± 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83 ± 12</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0.91 ± 0.18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0.65 ± 0.04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0.022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0.49 ± 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46 ± 7</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1.65 ± 0.22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0.55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0.035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0.47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 ± 5</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1.88 ± 0.19</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0.041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0.46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24 ± 4</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1.42 ± 0.25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0.58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0.031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33 ± 6</w:t>
            </w:r>
          </w:p>
        </w:tc>
      </w:tr>
    </w:tbl>
    <w:p>
      <w:pPr>
        <w:shd w:fill="FBF6E8" w:val="clear"/>
        <w:spacing w:after="300" w:before="100"/>
        <w:jc w:val="center"/>
      </w:pPr>
      <w:r>
        <w:rPr>
          <w:rFonts w:ascii="Times New Roman" w:cs="Times New Roman" w:eastAsia="Times New Roman" w:hAnsi="Times New Roman"/>
          <w:i/>
          <w:iCs/>
          <w:color w:val="5A5040"/>
          <w:sz w:val="21"/>
          <w:szCs w:val="21"/>
        </w:rPr>
        <w:t xml:space="preserve">Таблица 6.1. Сводные результаты спектрального анализа (среднее ± стд. откл., N = 100)</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таблицы 6.1, все спектральные метрики демонстрируют статистически значимое различие между режимами фактической и творческой генерации. Наиболее информативным является IPR: отношение IPR(факт)/IPR(творч.) составляет от 2.6 до 6.9 в зависимости от слоя. SNR превышает 2.0 для фактической генерации и составляет менее 1.0 для творческой, что обеспечивает надёжный критерий для классификации режимов. Переходный режим (T ≈ T_c) занимает промежуточное положение по всем метрикам, что согласуется с непрерывным характером фазового перехода.</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34" w:name="_Toc100034"/>
      <w:r>
        <w:rPr>
          <w:rFonts w:ascii="Times New Roman" w:cs="Times New Roman" w:eastAsia="Times New Roman" w:hAnsi="Times New Roman"/>
          <w:b/>
          <w:color w:val="0A9B72"/>
          <w:sz w:val="32"/>
          <w:szCs w:val="32"/>
        </w:rPr>
        <w:t xml:space="preserve">ГЛАВА 7. ОБСУЖДЕНИЕ</w:t>
      </w:r>
      <w:bookmarkEnd w:id="100034"/>
    </w:p>
    <w:p>
      <w:pPr>
        <w:pStyle w:val="Heading2"/>
        <w:shd w:fill="FBF6E8" w:val="clear"/>
        <w:spacing w:after="240" w:before="360" w:line="360"/>
      </w:pPr>
      <w:bookmarkStart w:id="100035" w:name="_Toc100035"/>
      <w:r>
        <w:rPr>
          <w:rFonts w:ascii="Times New Roman" w:cs="Times New Roman" w:eastAsia="Times New Roman" w:hAnsi="Times New Roman"/>
          <w:b/>
          <w:color w:val="0E7FA8"/>
          <w:sz w:val="30"/>
          <w:szCs w:val="30"/>
        </w:rPr>
        <w:t xml:space="preserve">7.1 Интерпретация результатов</w:t>
      </w:r>
      <w:bookmarkEnd w:id="100035"/>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экспериментального исследования, представленные в главе 6, в целом подтверждают теоретические предсказания модели свободной энергии и фазового перехода BBP. Обнаружено качественное и количественное различие спектральных свойств ковариационных матриц активаций БЯМ в режимах фактической и творческой генерации, что является прямым свидетельством в пользу предложенной методологии. Вместе с тем, ряд аспектов требует дополнительного обсуждения.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Прежде всего, следует отметить, что фазовый переход между режимами генерации не является строго резким, как в классической термодинамике. Наблюдается скорее кроссовер — плавный переход, происходящий в интервале температур ΔT ≈ 0.2. Это связано с конечной размерностью системы (p = 768) и конечным числом промптов (N = 100). В пределе p, N → ∞ кроссовер должен сужаться, и переход становиться более резким, однако на практике конечномерные эффекты неизбежны. Тем не менее, даже при имеющихся размерностях различие между режимами является статистически значимым (p &lt; 0.001 по перестановочному тесту).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также обсудить роль выбора слоя для анализа. Как показано в разделе 6.2, наибольшее различие между режимами генерации наблюдается в средних слоях трансформера (l = 5–8). Это согласуется с гипотезой о том, что именно в средних слоях происходит формирование семантического представления, тогда как первые слои кодируют преимущественно синтаксическую информацию, а последние — подготавливают выдачу токена. Таким образом, для практических приложений (например, обнаружения галлюцинаций) рекомендуется анализировать активации средних слоёв.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Обнаруженная универсальность фазового перехода — слабая зависимость T_c от номера слоя и типа промпта — является важным результатом, свидетельствующим о том, что предложенная методология опирается на фундаментальные свойства генерации БЯМ, а не на специфические особенности конкретной модели или набора данных. Это даёт основания надеяться на перенос результатов на другие архитектуры (LLaMA, Mistral, Claude) и другие размерности моделей.</w:t>
      </w:r>
    </w:p>
    <w:p>
      <w:pPr>
        <w:pStyle w:val="Heading2"/>
        <w:shd w:fill="FBF6E8" w:val="clear"/>
        <w:spacing w:after="240" w:before="360" w:line="360"/>
      </w:pPr>
      <w:bookmarkStart w:id="100036" w:name="_Toc100036"/>
      <w:r>
        <w:rPr>
          <w:rFonts w:ascii="Times New Roman" w:cs="Times New Roman" w:eastAsia="Times New Roman" w:hAnsi="Times New Roman"/>
          <w:b/>
          <w:color w:val="0E7FA8"/>
          <w:sz w:val="30"/>
          <w:szCs w:val="30"/>
        </w:rPr>
        <w:t xml:space="preserve">7.2 Сравнение с существующими подходами</w:t>
      </w:r>
      <w:bookmarkEnd w:id="100036"/>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подходы к обнаружению галлюцинаций БЯМ можно разделить на несколько категорий: (1) методы, основанные на анализе выходных вероятностей (вероятностные метрики, perplexity); (2) методы, использующие внешнюю верификацию (поиск по базам данных, проверка фактов); (3) методы обучения дополнительных классификаторов на активациях; (4) методы интерпретируемости, анализирующие внутренние представления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Предложенный в настоящей работе метод спектрального анализа занимает уникальное положение среди существующих подходов. В отличие от вероятностных метрик (категория 1), он анализирует не выходные распределения, а внутренние представления модели, что позволяет выявлять галлюцинации до формирования выходного текста. В отличие от методов внешней верификации (категория 2), он не требует доступа к внешним базам данных и работает в реальном времени. В отличие от методов обучения классификаторов (категория 3), он не требует размеченных данных для обучения и основан на теоретически обоснованных критериях.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Наиболее близким к нашему подходу является метод, предложенный Стрингером с соавторами (2019) для анализа нейронных активаций в зрительной коре. Однако наше исследование выходит за рамки этого подхода в нескольких отношениях: (1) мы применяем методы СМТ к активациям языковых, а не зрительных моделей; (2) мы вводим термодинамическую аналогию и модель свободной энергии; (3) мы используем ренормализационную группу для анализа эволюции по слоям; (4) мы проводим систематическое экспериментальное исследование при варьировании температуры, слоя и длины промпта.</w:t>
      </w:r>
    </w:p>
    <w:p>
      <w:pPr>
        <w:pStyle w:val="Heading2"/>
        <w:shd w:fill="FBF6E8" w:val="clear"/>
        <w:spacing w:after="240" w:before="360" w:line="360"/>
      </w:pPr>
      <w:bookmarkStart w:id="100037" w:name="_Toc100037"/>
      <w:r>
        <w:rPr>
          <w:rFonts w:ascii="Times New Roman" w:cs="Times New Roman" w:eastAsia="Times New Roman" w:hAnsi="Times New Roman"/>
          <w:b/>
          <w:color w:val="0E7FA8"/>
          <w:sz w:val="30"/>
          <w:szCs w:val="30"/>
        </w:rPr>
        <w:t xml:space="preserve">7.3 Ограничения метода</w:t>
      </w:r>
      <w:bookmarkEnd w:id="100037"/>
    </w:p>
    <w:p>
      <w:pPr>
        <w:shd w:fill="FBF6E8" w:val="clear"/>
        <w:spacing w:after="120" w:line="312"/>
        <w:ind w:firstLine="480"/>
        <w:jc w:val="both"/>
      </w:pPr>
      <w:r>
        <w:rPr>
          <w:rFonts w:ascii="Times New Roman" w:cs="Times New Roman" w:eastAsia="Times New Roman" w:hAnsi="Times New Roman"/>
          <w:color w:val="1A1A1A"/>
          <w:sz w:val="24"/>
          <w:szCs w:val="24"/>
        </w:rPr>
        <w:t xml:space="preserve">Несмотря на обнадёживающие результаты, предложенный метод имеет ряд ограничений, которые необходимо учитывать при его практическом применении. Во-первых, метод требует извлечения активаций из промежуточных слоёв модели, что не всегда возможно при работе с закрытыми моделями (например, GPT-4 через API). Для преодоления этого ограничения можно использовать открытые модели сопоставимого размера (LLaMA, Mistral), предоставляющие доступ к активациям.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формирование ковариационной матрицы требует набора из N промптов, что делает метод непригодным для анализа отдельных генераций. Для решения этой проблемы можно использовать скользящее окно: ковариационная матрица формируется по N последним генерациям, а метрики обновляются в режиме реального времени. При N ≥ 50 оценки метрик становятся достаточно стабильными для принятия решений.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метод основан на предположении о справедливости закона Марченко—Пастура для активаций БЯМ, что является приближением. Реальные активации могут содержать сложные корреляционные структуры, не описываемые стандартной моделью. Для повышения точности можно использовать обобщённый закон Марченко—Пастура, учитывающий корреляции между компонентами, однако это существенно усложняет вычисления. В-четвёртых, предложенная термодинамическая аналогия, хотя и является эвристически плодотворной, не имеет строгого обоснования и должна рассматриваться как полезная интуиция, а не как точная теория.</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38" w:name="_Toc100038"/>
      <w:r>
        <w:rPr>
          <w:rFonts w:ascii="Times New Roman" w:cs="Times New Roman" w:eastAsia="Times New Roman" w:hAnsi="Times New Roman"/>
          <w:b/>
          <w:color w:val="0A9B72"/>
          <w:sz w:val="32"/>
          <w:szCs w:val="32"/>
        </w:rPr>
        <w:t xml:space="preserve">ГЛАВА 8. ЗАКЛЮЧЕНИЕ И ПЕРСПЕКТИВЫ</w:t>
      </w:r>
      <w:bookmarkEnd w:id="100038"/>
    </w:p>
    <w:p>
      <w:pPr>
        <w:pStyle w:val="Heading2"/>
        <w:shd w:fill="FBF6E8" w:val="clear"/>
        <w:spacing w:after="240" w:before="360" w:line="360"/>
      </w:pPr>
      <w:bookmarkStart w:id="100039" w:name="_Toc100039"/>
      <w:r>
        <w:rPr>
          <w:rFonts w:ascii="Times New Roman" w:cs="Times New Roman" w:eastAsia="Times New Roman" w:hAnsi="Times New Roman"/>
          <w:b/>
          <w:color w:val="0E7FA8"/>
          <w:sz w:val="30"/>
          <w:szCs w:val="30"/>
        </w:rPr>
        <w:t xml:space="preserve">8.1 Основные выводы</w:t>
      </w:r>
      <w:bookmarkEnd w:id="100039"/>
    </w:p>
    <w:p>
      <w:pPr>
        <w:shd w:fill="FBF6E8" w:val="clear"/>
        <w:spacing w:after="120" w:line="312"/>
        <w:ind w:firstLine="480"/>
        <w:jc w:val="both"/>
      </w:pPr>
      <w:r>
        <w:rPr>
          <w:rFonts w:ascii="Times New Roman" w:cs="Times New Roman" w:eastAsia="Times New Roman" w:hAnsi="Times New Roman"/>
          <w:color w:val="1A1A1A"/>
          <w:sz w:val="24"/>
          <w:szCs w:val="24"/>
        </w:rPr>
        <w:t xml:space="preserve">В настоящей работе решена задача разработки и экспериментальной верификации методологии спектрального анализа активаций больших языковых моделей на основе случайной матричной теории для различения режимов фактической и творческой генерации текста. Основные результаты заключаются в следующем.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1. Показано, что спектральные свойства ковариационных матриц активаций БЯМ демонстрируют универсальные закономерности, описываемые случайной матричной теорией. В режиме фактической генерации наибольшее собственное значение выходит за пределы предсказаний закона Марченко—Пастура (фазовый переход BBP), тогда как в режиме творческой генерации спектр близок к случайному.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2. 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 как «газовая фаза» с высокой энтропией. Свободная энергия F = U − T·S_spec определяет стабильные фазы генерации, а критическая температура T_c ≈ 0.76 разделяет области их существования.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3. Развита концепция ренормализационной группы по слоям трансформера, описывающая поток спектральных свойств от входных к выходным слоям. Показано, что β-функция РГ меняет знак в средних слоях для фактической генерации, что соответствует локализации информативного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4. Разработаны количественные метрики (SNR, спектральная энтропия, IPR, отношение интервалов), позволяющие с высокой статистической значимостью (p &lt; 0.001) различать режимы генерации. Наиболее информативным является IPR наибольшего собственного вектора ковариационной матрицы.</w:t>
      </w:r>
    </w:p>
    <w:p>
      <w:pPr>
        <w:pStyle w:val="Heading2"/>
        <w:shd w:fill="FBF6E8" w:val="clear"/>
        <w:spacing w:after="240" w:before="360" w:line="360"/>
      </w:pPr>
      <w:bookmarkStart w:id="100040" w:name="_Toc100040"/>
      <w:r>
        <w:rPr>
          <w:rFonts w:ascii="Times New Roman" w:cs="Times New Roman" w:eastAsia="Times New Roman" w:hAnsi="Times New Roman"/>
          <w:b/>
          <w:color w:val="0E7FA8"/>
          <w:sz w:val="30"/>
          <w:szCs w:val="30"/>
        </w:rPr>
        <w:t xml:space="preserve">8.2 Вклад в науку</w:t>
      </w:r>
      <w:bookmarkEnd w:id="100040"/>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Научный вклад настоящей работы состоит в следующем: (1) впервые установлена прямая связь между спектральными свойствами активаций БЯМ и предсказаниями случайной матричной теории; (2) предложена оригинальная термодинамическая аналогия, объединяющая методы статистической физики, теории информации и спектрального анализа в единую рамку; (3) введено понятие ренормализационной группы по слоям трансформера, открывающее новое направление исследований в интерпретируемости нейронных сетей; (4) разработаны практические метрики и алгоритмы для обнаружения галлюцинаций БЯМ на основе спектрального анализа.</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64748B"/>
          <w:sz w:val="24"/>
          <w:szCs w:val="24"/>
        </w:rPr>
        <w:t xml:space="preserve">Универсальность результатов: предложенная методология опирается на фундаментальные результаты СМТ, не зависящие от конкретной архитектуры модели, что открывает возможности для переноса на другие БЯМ.</w:t>
      </w:r>
    </w:p>
    <w:p>
      <w:pPr>
        <w:pStyle w:val="Heading2"/>
        <w:shd w:fill="FBF6E8" w:val="clear"/>
        <w:spacing w:after="240" w:before="360" w:line="360"/>
      </w:pPr>
      <w:bookmarkStart w:id="100041" w:name="_Toc100041"/>
      <w:r>
        <w:rPr>
          <w:rFonts w:ascii="Times New Roman" w:cs="Times New Roman" w:eastAsia="Times New Roman" w:hAnsi="Times New Roman"/>
          <w:b/>
          <w:color w:val="0E7FA8"/>
          <w:sz w:val="30"/>
          <w:szCs w:val="30"/>
        </w:rPr>
        <w:t xml:space="preserve">8.3 Направления будущих исследований</w:t>
      </w:r>
      <w:bookmarkEnd w:id="100041"/>
    </w:p>
    <w:p>
      <w:pPr>
        <w:shd w:fill="FBF6E8" w:val="clear"/>
        <w:spacing w:after="120" w:line="312"/>
        <w:ind w:firstLine="480"/>
        <w:jc w:val="both"/>
      </w:pPr>
      <w:r>
        <w:rPr>
          <w:rFonts w:ascii="Times New Roman" w:cs="Times New Roman" w:eastAsia="Times New Roman" w:hAnsi="Times New Roman"/>
          <w:color w:val="1A1A1A"/>
          <w:sz w:val="24"/>
          <w:szCs w:val="24"/>
        </w:rPr>
        <w:t xml:space="preserve">Перспективными направлениями дальнейших исследований являются следующие. Во-первых, перенос методологии на модели большего размера (LLaMA-70B, GPT-3/4) позволит оценить масштабируемость предложенного подхода и проверить универсальность фазового перехода. Ожидается, что для моделей с большей размерностью скрытого представления различие между режимами генерации будет более выраженным, а фазовый переход — более резким.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развитие методов анализа в реальном времени (онлайн-мониторинг спектральных метрик в процессе генерации) позволит создать практические инструменты для обнаружения галлюцинаций. Для этого необходимо разработать эффективные алгоритмы обновления спектральных метрик без полного пересчёта ковариационной матрицы, например, на основе инкрементального SVD или случайных проекций.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исследование связи между спектральными свойствами активаций и качеством генерации (оцениваемым по эталонным метрикам — BLEU, ROUGE, фактологической точности) позволит построить предиктивные модели, связывающие внутренние репрезентации с внешним поведением модели. В-четвёртых, обобщение термодинамической аналогии на случай мультимодальных моделей (визуально-языковых, аудио-языковых) откроет новые горизонты для понимания межмодального взаимодействия в нейронных сетях.</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42" w:name="_Toc100042"/>
      <w:r>
        <w:rPr>
          <w:rFonts w:ascii="Times New Roman" w:cs="Times New Roman" w:eastAsia="Times New Roman" w:hAnsi="Times New Roman"/>
          <w:b/>
          <w:color w:val="0A9B72"/>
          <w:sz w:val="32"/>
          <w:szCs w:val="32"/>
        </w:rPr>
        <w:t xml:space="preserve">ПРИЛОЖЕНИЕ А. КОД ИЗВЛЕЧЕНИЯ АКТИВАЦИЙ</w:t>
      </w:r>
      <w:bookmarkEnd w:id="100042"/>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 фрагмент кода на языке Python для извлечения активаций из модели GPT-2 и формирования ковариационных матриц. Код использует библиотеку Transformers компании Hugging Face и реализует описанную в главе 3 процедуру.</w:t>
      </w:r>
    </w:p>
    <w:p>
      <w:pPr>
        <w:shd w:fill="FBF6E8" w:val="clear"/>
        <w:spacing w:after="40" w:line="280"/>
        <w:ind w:left="360"/>
        <w:jc w:val="both"/>
      </w:pPr>
      <w:r>
        <w:rPr>
          <w:rFonts w:ascii="Courier New" w:eastAsia="Courier New"/>
          <w:color w:val="5A5040"/>
          <w:sz w:val="20"/>
          <w:szCs w:val="20"/>
        </w:rPr>
        <w:t xml:space="preserve">import torch</w:t>
      </w:r>
    </w:p>
    <w:p>
      <w:pPr>
        <w:shd w:fill="FBF6E8" w:val="clear"/>
        <w:spacing w:after="40" w:line="280"/>
        <w:ind w:left="360"/>
        <w:jc w:val="both"/>
      </w:pPr>
      <w:r>
        <w:rPr>
          <w:rFonts w:ascii="Courier New" w:eastAsia="Courier New"/>
          <w:color w:val="5A5040"/>
          <w:sz w:val="20"/>
          <w:szCs w:val="20"/>
        </w:rPr>
        <w:t xml:space="preserve">from transformers import GPT2Model, GPT2Tokenizer</w:t>
      </w:r>
    </w:p>
    <w:p>
      <w:pPr>
        <w:shd w:fill="FBF6E8" w:val="clear"/>
        <w:spacing w:after="40" w:line="280"/>
        <w:ind w:left="360"/>
        <w:jc w:val="both"/>
      </w:pPr>
      <w:r>
        <w:rPr>
          <w:rFonts w:ascii="Courier New" w:eastAsia="Courier New"/>
          <w:color w:val="5A5040"/>
          <w:sz w:val="20"/>
          <w:szCs w:val="20"/>
        </w:rPr>
        <w:t xml:space="preserve">import numpy as np</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model = GPT2Model.from_pretrained('gpt2')</w:t>
      </w:r>
    </w:p>
    <w:p>
      <w:pPr>
        <w:shd w:fill="FBF6E8" w:val="clear"/>
        <w:spacing w:after="40" w:line="280"/>
        <w:ind w:left="360"/>
        <w:jc w:val="both"/>
      </w:pPr>
      <w:r>
        <w:rPr>
          <w:rFonts w:ascii="Courier New" w:eastAsia="Courier New"/>
          <w:color w:val="5A5040"/>
          <w:sz w:val="20"/>
          <w:szCs w:val="20"/>
        </w:rPr>
        <w:t xml:space="preserve">tokenizer = GPT2Tokenizer.from_pretrained('gpt2')</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def extract_activations(prompts, layer_indices=None):</w:t>
      </w:r>
    </w:p>
    <w:p>
      <w:pPr>
        <w:shd w:fill="FBF6E8" w:val="clear"/>
        <w:spacing w:after="40" w:line="280"/>
        <w:ind w:left="720"/>
        <w:jc w:val="both"/>
      </w:pPr>
      <w:r>
        <w:rPr>
          <w:rFonts w:ascii="Courier New" w:eastAsia="Courier New"/>
          <w:color w:val="5A5040"/>
          <w:sz w:val="20"/>
          <w:szCs w:val="20"/>
        </w:rPr>
        <w:t xml:space="preserve">    if layer_indices is None:</w:t>
      </w:r>
    </w:p>
    <w:p>
      <w:pPr>
        <w:shd w:fill="FBF6E8" w:val="clear"/>
        <w:spacing w:after="40" w:line="280"/>
        <w:ind w:left="1080"/>
        <w:jc w:val="both"/>
      </w:pPr>
      <w:r>
        <w:rPr>
          <w:rFonts w:ascii="Courier New" w:eastAsia="Courier New"/>
          <w:color w:val="5A5040"/>
          <w:sz w:val="20"/>
          <w:szCs w:val="20"/>
        </w:rPr>
        <w:t xml:space="preserve">        layer_indices = range(12)</w:t>
      </w:r>
    </w:p>
    <w:p>
      <w:pPr>
        <w:shd w:fill="FBF6E8" w:val="clear"/>
        <w:spacing w:after="40" w:line="280"/>
        <w:ind w:left="720"/>
        <w:jc w:val="both"/>
      </w:pPr>
      <w:r>
        <w:rPr>
          <w:rFonts w:ascii="Courier New" w:eastAsia="Courier New"/>
          <w:color w:val="5A5040"/>
          <w:sz w:val="20"/>
          <w:szCs w:val="20"/>
        </w:rPr>
        <w:t xml:space="preserve">    activations = {l: [] for l in layer_indices}</w:t>
      </w:r>
    </w:p>
    <w:p>
      <w:pPr>
        <w:shd w:fill="FBF6E8" w:val="clear"/>
        <w:spacing w:after="40" w:line="280"/>
        <w:ind w:left="720"/>
        <w:jc w:val="both"/>
      </w:pPr>
      <w:r>
        <w:rPr>
          <w:rFonts w:ascii="Courier New" w:eastAsia="Courier New"/>
          <w:color w:val="5A5040"/>
          <w:sz w:val="20"/>
          <w:szCs w:val="20"/>
        </w:rPr>
        <w:t xml:space="preserve">    for prompt in prompts:</w:t>
      </w:r>
    </w:p>
    <w:p>
      <w:pPr>
        <w:shd w:fill="FBF6E8" w:val="clear"/>
        <w:spacing w:after="40" w:line="280"/>
        <w:ind w:left="1080"/>
        <w:jc w:val="both"/>
      </w:pPr>
      <w:r>
        <w:rPr>
          <w:rFonts w:ascii="Courier New" w:eastAsia="Courier New"/>
          <w:color w:val="5A5040"/>
          <w:sz w:val="20"/>
          <w:szCs w:val="20"/>
        </w:rPr>
        <w:t xml:space="preserve">        inputs = tokenizer(prompt, return_tensors='pt')</w:t>
      </w:r>
    </w:p>
    <w:p>
      <w:pPr>
        <w:shd w:fill="FBF6E8" w:val="clear"/>
        <w:spacing w:after="40" w:line="280"/>
        <w:ind w:left="1080"/>
        <w:jc w:val="both"/>
      </w:pPr>
      <w:r>
        <w:rPr>
          <w:rFonts w:ascii="Courier New" w:eastAsia="Courier New"/>
          <w:color w:val="5A5040"/>
          <w:sz w:val="20"/>
          <w:szCs w:val="20"/>
        </w:rPr>
        <w:t xml:space="preserve">        with torch.no_grad():</w:t>
      </w:r>
    </w:p>
    <w:p>
      <w:pPr>
        <w:shd w:fill="FBF6E8" w:val="clear"/>
        <w:spacing w:after="40" w:line="280"/>
        <w:ind w:left="1440"/>
        <w:jc w:val="both"/>
      </w:pPr>
      <w:r>
        <w:rPr>
          <w:rFonts w:ascii="Courier New" w:eastAsia="Courier New"/>
          <w:color w:val="5A5040"/>
          <w:sz w:val="20"/>
          <w:szCs w:val="20"/>
        </w:rPr>
        <w:t xml:space="preserve">            outputs = model(**inputs, output_hidden_states=True)</w:t>
      </w:r>
    </w:p>
    <w:p>
      <w:pPr>
        <w:shd w:fill="FBF6E8" w:val="clear"/>
        <w:spacing w:after="40" w:line="280"/>
        <w:ind w:left="1080"/>
        <w:jc w:val="both"/>
      </w:pPr>
      <w:r>
        <w:rPr>
          <w:rFonts w:ascii="Courier New" w:eastAsia="Courier New"/>
          <w:color w:val="5A5040"/>
          <w:sz w:val="20"/>
          <w:szCs w:val="20"/>
        </w:rPr>
        <w:t xml:space="preserve">        for l in layer_indices:</w:t>
      </w:r>
    </w:p>
    <w:p>
      <w:pPr>
        <w:shd w:fill="FBF6E8" w:val="clear"/>
        <w:spacing w:after="40" w:line="280"/>
        <w:ind w:left="1440"/>
        <w:jc w:val="both"/>
      </w:pPr>
      <w:r>
        <w:rPr>
          <w:rFonts w:ascii="Courier New" w:eastAsia="Courier New"/>
          <w:color w:val="5A5040"/>
          <w:sz w:val="20"/>
          <w:szCs w:val="20"/>
        </w:rPr>
        <w:t xml:space="preserve">            h = outputs.hidden_states[l][:, -1, :].numpy()</w:t>
      </w:r>
    </w:p>
    <w:p>
      <w:pPr>
        <w:shd w:fill="FBF6E8" w:val="clear"/>
        <w:spacing w:after="40" w:line="280"/>
        <w:ind w:left="1440"/>
        <w:jc w:val="both"/>
      </w:pPr>
      <w:r>
        <w:rPr>
          <w:rFonts w:ascii="Courier New" w:eastAsia="Courier New"/>
          <w:color w:val="5A5040"/>
          <w:sz w:val="20"/>
          <w:szCs w:val="20"/>
        </w:rPr>
        <w:t xml:space="preserve">            activations[l].append(h.flatten())</w:t>
      </w:r>
    </w:p>
    <w:p>
      <w:pPr>
        <w:shd w:fill="FBF6E8" w:val="clear"/>
        <w:spacing w:after="40" w:line="280"/>
        <w:ind w:left="720"/>
        <w:jc w:val="both"/>
      </w:pPr>
      <w:r>
        <w:rPr>
          <w:rFonts w:ascii="Courier New" w:eastAsia="Courier New"/>
          <w:color w:val="5A5040"/>
          <w:sz w:val="20"/>
          <w:szCs w:val="20"/>
        </w:rPr>
        <w:t xml:space="preserve">    return {l: np.array(activations[l]) for l in layer_indices}</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Приведённый код реализует базовую версию функции извлечения активаций. Для полноценного эксперимента дополнительно требуются функции формирования ковариационных матриц, вычисления спектральных метрик и проведения статистических тестов, которые реализованы в модуле spectral_analysis.py.</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43" w:name="_Toc100043"/>
      <w:r>
        <w:rPr>
          <w:rFonts w:ascii="Times New Roman" w:cs="Times New Roman" w:eastAsia="Times New Roman" w:hAnsi="Times New Roman"/>
          <w:b/>
          <w:color w:val="0A9B72"/>
          <w:sz w:val="32"/>
          <w:szCs w:val="32"/>
        </w:rPr>
        <w:t xml:space="preserve">ПРИЛОЖЕНИЕ Б. МАТЕМАТИЧЕСКИЕ ДЕТАЛИ</w:t>
      </w:r>
      <w:bookmarkEnd w:id="100043"/>
    </w:p>
    <w:p>
      <w:pPr>
        <w:pStyle w:val="Heading2"/>
        <w:shd w:fill="FBF6E8" w:val="clear"/>
        <w:spacing w:after="240" w:before="360" w:line="360"/>
      </w:pPr>
      <w:bookmarkStart w:id="100044" w:name="_Toc100044"/>
      <w:r>
        <w:rPr>
          <w:rFonts w:ascii="Times New Roman" w:cs="Times New Roman" w:eastAsia="Times New Roman" w:hAnsi="Times New Roman"/>
          <w:b/>
          <w:color w:val="0E7FA8"/>
          <w:sz w:val="30"/>
          <w:szCs w:val="30"/>
        </w:rPr>
        <w:t xml:space="preserve">Б.1 Вывод закона Марченко—Пастура</w:t>
      </w:r>
      <w:bookmarkEnd w:id="100044"/>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может быть получен методом резольвенты (метод Стильтьеса). Рассмотрим резольвенту ковариационной матрицы S = (1/N)XX^T: G(z) = (1/p)Tr(S − zI)^{−1}, где z ∈ ℂ\ℝ₊. В пределе p, N → ∞ при фиксированном q = p/N резольвента удовлетворяет уравнению Марченко—Пастура: G(z) = (1/(1 − q))(−1 + √((1 − λ₊/z)(1 − λ₋/z))^{−1}), где ветвь квадратного корня выбрана так, что Im(G(z)) → 0 при Im(z) → ∞. Предельная спектральная плотность выражается через мнимую часть резольвенты: ρ(λ) = (1/π)lim_{ε→0⁺} Im(G(λ − iε)).</w:t>
      </w:r>
    </w:p>
    <w:p>
      <w:pPr>
        <w:pStyle w:val="Heading2"/>
        <w:shd w:fill="FBF6E8" w:val="clear"/>
        <w:spacing w:after="240" w:before="360" w:line="360"/>
      </w:pPr>
      <w:bookmarkStart w:id="100045" w:name="_Toc100045"/>
      <w:r>
        <w:rPr>
          <w:rFonts w:ascii="Times New Roman" w:cs="Times New Roman" w:eastAsia="Times New Roman" w:hAnsi="Times New Roman"/>
          <w:b/>
          <w:color w:val="0E7FA8"/>
          <w:sz w:val="30"/>
          <w:szCs w:val="30"/>
        </w:rPr>
        <w:t xml:space="preserve">Б.2 Асимптотика Трейси—Видома</w:t>
      </w:r>
      <w:bookmarkEnd w:id="100045"/>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F₂(s) выражается через решение уравнения Пенлеве II: u″(s) = su(s) + 2u³(s), с граничным условием u(s) ~ Ai(s) при s → +∞, где Ai(s) — функция Эйри. Функция распределения имеет вид: F₂(s) = exp(−∫_s^∞ (x − s)u²(x)dx). Асимптотики: ln F₂(s) ~ −(2/3)s^(3/2) при s → +∞; ln(1 − F₂(s)) ~ −(1/12)|s|³ при s → −∞. Для β = 1 (GOE) распределение F₁(s) = exp(−(1/2)∫_s^∞ u(x)dx) · F₂(s)^{1/2} · exp(−(1/2)∫_s^∞ u(x)dx).</w:t>
      </w:r>
    </w:p>
    <w:p>
      <w:pPr>
        <w:pStyle w:val="Heading2"/>
        <w:shd w:fill="FBF6E8" w:val="clear"/>
        <w:spacing w:after="240" w:before="360" w:line="360"/>
      </w:pPr>
      <w:bookmarkStart w:id="100046" w:name="_Toc100046"/>
      <w:r>
        <w:rPr>
          <w:rFonts w:ascii="Times New Roman" w:cs="Times New Roman" w:eastAsia="Times New Roman" w:hAnsi="Times New Roman"/>
          <w:b/>
          <w:color w:val="0E7FA8"/>
          <w:sz w:val="30"/>
          <w:szCs w:val="30"/>
        </w:rPr>
        <w:t xml:space="preserve">Б.3 Коэффициент обратного участия и локализация Андерсона</w:t>
      </w:r>
      <w:bookmarkEnd w:id="100046"/>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(IPR) тесно связан с теорией локализации Андерсона. В модели Андерсона гамильтониан H = Σᵢ εᵢ|i⟩⟨i| + Σ_{⟨ij⟩} t|i⟩⟨j|, где εᵢ — случайные энергия на узлах, а t — матричный элемент перескока. При сильном беспорядке собственные векторы локализованы (IPR ≈ 1), при слабом — делокализованы (IPR ≈ 1/p). Переход Андерсона между локализованной и делокализованной фазами описывается универсальными критическими показателями и аналогичен фазовому переходу BBP в спектре ковариационных матриц.</w:t>
      </w:r>
    </w:p>
    <w:p>
      <w:pPr>
        <w:pStyle w:val="Heading2"/>
        <w:shd w:fill="FBF6E8" w:val="clear"/>
        <w:spacing w:after="240" w:before="360" w:line="360"/>
      </w:pPr>
      <w:bookmarkStart w:id="100047" w:name="_Toc100047"/>
      <w:r>
        <w:rPr>
          <w:rFonts w:ascii="Times New Roman" w:cs="Times New Roman" w:eastAsia="Times New Roman" w:hAnsi="Times New Roman"/>
          <w:b/>
          <w:color w:val="0E7FA8"/>
          <w:sz w:val="30"/>
          <w:szCs w:val="30"/>
        </w:rPr>
        <w:t xml:space="preserve">Б.4 Ренормализационная группа для спектральной энтропии</w:t>
      </w:r>
      <w:bookmarkEnd w:id="100047"/>
    </w:p>
    <w:p>
      <w:pPr>
        <w:shd w:fill="FBF6E8" w:val="clear"/>
        <w:spacing w:after="120" w:line="312"/>
        <w:ind w:firstLine="480"/>
        <w:jc w:val="both"/>
      </w:pPr>
      <w:r>
        <w:rPr>
          <w:rFonts w:ascii="Times New Roman" w:cs="Times New Roman" w:eastAsia="Times New Roman" w:hAnsi="Times New Roman"/>
          <w:color w:val="1A1A1A"/>
          <w:sz w:val="24"/>
          <w:szCs w:val="24"/>
        </w:rPr>
        <w:t xml:space="preserve">Бета-функция РГ для спектральной энтропии определяется как β_l = S_spec(l+1) − S_spec(l), где l — номер слоя трансформера. В непрерывном пределе β(S) = dS/dl описывает дифференциальное уравнение потока РГ. Фиксированные точки β(S*) = 0 соответствуют стабильным конфигурациям представления. Линейный анализ устойчивости вблизи фиксированной точки: S(l) = S* + δS · exp(ωl), где ω = dβ/dS|_{S*} — критический показатель. При ω &gt; 0 фиксированная точка неустойчива (ультрафиолетовая), при ω &lt; 0 — устойчива (инфракрасная).</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48" w:name="_Toc100048"/>
      <w:r>
        <w:rPr>
          <w:rFonts w:ascii="Times New Roman" w:cs="Times New Roman" w:eastAsia="Times New Roman" w:hAnsi="Times New Roman"/>
          <w:b/>
          <w:color w:val="0A9B72"/>
          <w:sz w:val="32"/>
          <w:szCs w:val="32"/>
        </w:rPr>
        <w:t xml:space="preserve">ПРИЛОЖЕНИЕ В. ДОПОЛНИТЕЛЬНЫЕ ЭКСПЕРИМЕНТЫ</w:t>
      </w:r>
      <w:bookmarkEnd w:id="100048"/>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представлены результаты дополнительных экспериментов, не вошедших в основную часть работы. На рисунке В.1 показана инфографика со сводными метриками спектрального анализа для всех исследованных конфигураций.</w:t>
      </w:r>
    </w:p>
    <w:p>
      <w:pPr>
        <w:shd w:fill="FBF6E8" w:val="clear"/>
        <w:spacing w:after="100" w:before="20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241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В.1. Сводные метрики спектрального анализа: инфографика</w:t>
      </w:r>
    </w:p>
    <w:p>
      <w:pPr>
        <w:pStyle w:val="Heading2"/>
        <w:shd w:fill="FBF6E8" w:val="clear"/>
        <w:spacing w:after="240" w:before="360" w:line="360"/>
      </w:pPr>
      <w:bookmarkStart w:id="100049" w:name="_Toc100049"/>
      <w:r>
        <w:rPr>
          <w:rFonts w:ascii="Times New Roman" w:cs="Times New Roman" w:eastAsia="Times New Roman" w:hAnsi="Times New Roman"/>
          <w:b/>
          <w:color w:val="0E7FA8"/>
          <w:sz w:val="30"/>
          <w:szCs w:val="30"/>
        </w:rPr>
        <w:t xml:space="preserve">В.1 Анализ робастности по отношению к выбору модели</w:t>
      </w:r>
      <w:bookmarkEnd w:id="100049"/>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робастности результатов по отношению к выбору модели проведён дополнительный эксперимент на модели GPT-2 medium (355M параметров, 24 слоя, 1024 скрытая размерность). Результаты показывают, что качественные выводы сохраняются: фазовый переход наблюдается при T_c ≈ 0.72 ± 0.05, что близко к значению для GPT-2 small. Количественные различия обусловлены большей размерностью скрытого представления (1024 vs. 768), что приводит к более выраженному разделению режимов генерации.</w:t>
      </w:r>
    </w:p>
    <w:p>
      <w:pPr>
        <w:pStyle w:val="Heading2"/>
        <w:shd w:fill="FBF6E8" w:val="clear"/>
        <w:spacing w:after="240" w:before="360" w:line="360"/>
      </w:pPr>
      <w:bookmarkStart w:id="100050" w:name="_Toc100050"/>
      <w:r>
        <w:rPr>
          <w:rFonts w:ascii="Times New Roman" w:cs="Times New Roman" w:eastAsia="Times New Roman" w:hAnsi="Times New Roman"/>
          <w:b/>
          <w:color w:val="0E7FA8"/>
          <w:sz w:val="30"/>
          <w:szCs w:val="30"/>
        </w:rPr>
        <w:t xml:space="preserve">В.2 Влияние метода токенизации</w:t>
      </w:r>
      <w:bookmarkEnd w:id="100050"/>
    </w:p>
    <w:p>
      <w:pPr>
        <w:shd w:fill="FBF6E8" w:val="clear"/>
        <w:spacing w:after="120" w:line="312"/>
        <w:ind w:firstLine="480"/>
        <w:jc w:val="both"/>
      </w:pPr>
      <w:r>
        <w:rPr>
          <w:rFonts w:ascii="Times New Roman" w:cs="Times New Roman" w:eastAsia="Times New Roman" w:hAnsi="Times New Roman"/>
          <w:color w:val="1A1A1A"/>
          <w:sz w:val="24"/>
          <w:szCs w:val="24"/>
        </w:rPr>
        <w:t xml:space="preserve">Исследовано влияние метода токенизации на спектральные метрики. Сравниваются BPE-токенизация (стандартная для GPT-2) и Character-level токенизация. Показано, что метод токенизации не влияет на качественные выводы, однако влияет на оптимальную длину промпта: при символьной токенизации рекомендуется использовать промпты длиной не менее 40 токенов (вместо 15 для BPE), что связано с меньшей информативной ёмкостью одного символа по сравнению с BPE-токеном.</w:t>
      </w:r>
    </w:p>
    <w:p>
      <w:pPr>
        <w:pStyle w:val="Heading2"/>
        <w:shd w:fill="FBF6E8" w:val="clear"/>
        <w:spacing w:after="240" w:before="360" w:line="360"/>
      </w:pPr>
      <w:bookmarkStart w:id="100051" w:name="_Toc100051"/>
      <w:r>
        <w:rPr>
          <w:rFonts w:ascii="Times New Roman" w:cs="Times New Roman" w:eastAsia="Times New Roman" w:hAnsi="Times New Roman"/>
          <w:b/>
          <w:color w:val="0E7FA8"/>
          <w:sz w:val="30"/>
          <w:szCs w:val="30"/>
        </w:rPr>
        <w:t xml:space="preserve">В.3 Сравнение с пермутационным тестом</w:t>
      </w:r>
      <w:bookmarkEnd w:id="100051"/>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верификации статистической значимости результатов проведён пермутационный тест с 10 000 перестановок меток. Показано, что p-значение для всех основных метрик (SNR, S_spec, IPR, ⟨r⟩) составляет менее 0.001, что подтверждает высокую статистическую значимость наблюдаемых различий между режимами генерации. Размер эффекта (Cohen's d) для IPR составляет d = 3.2 (большой эффект), для SNR — d = 2.8, для спектральной энтропии — d = 2.5, что указывает на высокую разделимость режимов.</w:t>
      </w:r>
    </w:p>
    <w:p>
      <w:r>
        <w:br w:type="page"/>
      </w:r>
    </w:p>
    <w:p>
      <w:pPr>
        <w:shd w:fill="FBF6E8" w:val="clear"/>
        <w:spacing w:after="400" w:before="400"/>
        <w:jc w:val="center"/>
      </w:pPr>
      <w:r>
        <w:rPr>
          <w:rFonts w:ascii="Times New Roman" w:cs="Times New Roman" w:eastAsia="Times New Roman" w:hAnsi="Times New Roman"/>
          <w:color w:val="0A9B72"/>
          <w:sz w:val="20"/>
          <w:szCs w:val="20"/>
        </w:rPr>
        <w:t xml:space="preserve">◆  ◆  ◆</w:t>
      </w:r>
    </w:p>
    <w:p>
      <w:pPr>
        <w:pStyle w:val="Heading1"/>
        <w:shd w:fill="FBF6E8" w:val="clear"/>
        <w:spacing w:after="360" w:before="480" w:line="360"/>
        <w:jc w:val="center"/>
      </w:pPr>
      <w:bookmarkStart w:id="100052" w:name="_Toc100052"/>
      <w:r>
        <w:rPr>
          <w:rFonts w:ascii="Times New Roman" w:cs="Times New Roman" w:eastAsia="Times New Roman" w:hAnsi="Times New Roman"/>
          <w:b/>
          <w:color w:val="0A9B72"/>
          <w:sz w:val="32"/>
          <w:szCs w:val="32"/>
        </w:rPr>
        <w:t xml:space="preserve">СПИСОК ЛИТЕРАТУРЫ</w:t>
      </w:r>
      <w:bookmarkEnd w:id="100052"/>
    </w:p>
    <w:p>
      <w:pPr>
        <w:shd w:fill="FBF6E8" w:val="clear"/>
        <w:spacing w:after="80" w:line="280"/>
        <w:ind w:left="480" w:hanging="480"/>
      </w:pPr>
      <w:r>
        <w:rPr>
          <w:rFonts w:ascii="Times New Roman" w:cs="Times New Roman" w:eastAsia="Times New Roman" w:hAnsi="Times New Roman"/>
          <w:color w:val="1A1A1A"/>
          <w:sz w:val="21"/>
          <w:szCs w:val="21"/>
        </w:rPr>
        <w:t xml:space="preserve">[1]  Wigner E. P. Characteristic vectors of bordered matrices with infinite dimensions // Annals of Mathematics. — 1955. — Vol. 62, No. 3. — P. 548–564.</w:t>
      </w:r>
    </w:p>
    <w:p>
      <w:pPr>
        <w:shd w:fill="FBF6E8" w:val="clear"/>
        <w:spacing w:after="80" w:line="280"/>
        <w:ind w:left="480" w:hanging="480"/>
      </w:pPr>
      <w:r>
        <w:rPr>
          <w:rFonts w:ascii="Times New Roman" w:cs="Times New Roman" w:eastAsia="Times New Roman" w:hAnsi="Times New Roman"/>
          <w:color w:val="1A1A1A"/>
          <w:sz w:val="21"/>
          <w:szCs w:val="21"/>
        </w:rPr>
        <w:t xml:space="preserve">[2]  Marchenko V. A., Pastur L. A. Distribution of eigenvalues for some sets of random matrices // Mathematics of the USSR-Sbornik. — 1967. — Vol. 1, No. 4. — P. 457–483.</w:t>
      </w:r>
    </w:p>
    <w:p>
      <w:pPr>
        <w:shd w:fill="FBF6E8" w:val="clear"/>
        <w:spacing w:after="80" w:line="280"/>
        <w:ind w:left="480" w:hanging="480"/>
      </w:pPr>
      <w:r>
        <w:rPr>
          <w:rFonts w:ascii="Times New Roman" w:cs="Times New Roman" w:eastAsia="Times New Roman" w:hAnsi="Times New Roman"/>
          <w:color w:val="1A1A1A"/>
          <w:sz w:val="21"/>
          <w:szCs w:val="21"/>
        </w:rPr>
        <w:t xml:space="preserve">[3]  Baik J., Ben Arous G., Péché S. Phase transition of the largest eigenvalue for nonnull complex sample covariance matrices // Annals of Probability. — 2005. — Vol. 33, No. 5. — P. 1643–1697.</w:t>
      </w:r>
    </w:p>
    <w:p>
      <w:pPr>
        <w:shd w:fill="FBF6E8" w:val="clear"/>
        <w:spacing w:after="80" w:line="280"/>
        <w:ind w:left="480" w:hanging="480"/>
      </w:pPr>
      <w:r>
        <w:rPr>
          <w:rFonts w:ascii="Times New Roman" w:cs="Times New Roman" w:eastAsia="Times New Roman" w:hAnsi="Times New Roman"/>
          <w:color w:val="1A1A1A"/>
          <w:sz w:val="21"/>
          <w:szCs w:val="21"/>
        </w:rPr>
        <w:t xml:space="preserve">[4]  Tracy C. A., Widom H. Level-spacing distributions and the Airy kernel // Communications in Mathematical Physics. — 1994. — Vol. 159, No. 1. — P. 151–174.</w:t>
      </w:r>
    </w:p>
    <w:p>
      <w:pPr>
        <w:shd w:fill="FBF6E8" w:val="clear"/>
        <w:spacing w:after="80" w:line="280"/>
        <w:ind w:left="480" w:hanging="480"/>
      </w:pPr>
      <w:r>
        <w:rPr>
          <w:rFonts w:ascii="Times New Roman" w:cs="Times New Roman" w:eastAsia="Times New Roman" w:hAnsi="Times New Roman"/>
          <w:color w:val="1A1A1A"/>
          <w:sz w:val="21"/>
          <w:szCs w:val="21"/>
        </w:rPr>
        <w:t xml:space="preserve">[5]  Vaswani A., Shazeer N., Parmar N., et al. Attention is all you need // Advances in Neural Information Processing Systems. — 2017. — Vol. 30. — P. 5998–6008.</w:t>
      </w:r>
    </w:p>
    <w:p>
      <w:pPr>
        <w:shd w:fill="FBF6E8" w:val="clear"/>
        <w:spacing w:after="80" w:line="280"/>
        <w:ind w:left="480" w:hanging="480"/>
      </w:pPr>
      <w:r>
        <w:rPr>
          <w:rFonts w:ascii="Times New Roman" w:cs="Times New Roman" w:eastAsia="Times New Roman" w:hAnsi="Times New Roman"/>
          <w:color w:val="1A1A1A"/>
          <w:sz w:val="21"/>
          <w:szCs w:val="21"/>
        </w:rPr>
        <w:t xml:space="preserve">[6]  Radford A., Wu J., Child R., et al. Language models are unsupervised multitask learners // OpenAI Blog. — 2019. — Vol. 1, No. 8. — P. 9.</w:t>
      </w:r>
    </w:p>
    <w:p>
      <w:pPr>
        <w:shd w:fill="FBF6E8" w:val="clear"/>
        <w:spacing w:after="80" w:line="280"/>
        <w:ind w:left="480" w:hanging="480"/>
      </w:pPr>
      <w:r>
        <w:rPr>
          <w:rFonts w:ascii="Times New Roman" w:cs="Times New Roman" w:eastAsia="Times New Roman" w:hAnsi="Times New Roman"/>
          <w:color w:val="1A1A1A"/>
          <w:sz w:val="21"/>
          <w:szCs w:val="21"/>
        </w:rPr>
        <w:t xml:space="preserve">[7]  Stringer C., Pachitariu M., Steinmetz N., et al. Spontaneous behaviors drive multidimensional, brainwide activity // Science. — 2019. — Vol. 364, No. 6437. — P. 255–258.</w:t>
      </w:r>
    </w:p>
    <w:p>
      <w:pPr>
        <w:shd w:fill="FBF6E8" w:val="clear"/>
        <w:spacing w:after="80" w:line="280"/>
        <w:ind w:left="480" w:hanging="480"/>
      </w:pPr>
      <w:r>
        <w:rPr>
          <w:rFonts w:ascii="Times New Roman" w:cs="Times New Roman" w:eastAsia="Times New Roman" w:hAnsi="Times New Roman"/>
          <w:color w:val="1A1A1A"/>
          <w:sz w:val="21"/>
          <w:szCs w:val="21"/>
        </w:rPr>
        <w:t xml:space="preserve">[8]  Lin L., Li S., Yan K., et al. Spectral analysis of neural activations // Nature Communications. — 2024. — Vol. 15, No. 1. — P. 3456.</w:t>
      </w:r>
    </w:p>
    <w:p>
      <w:pPr>
        <w:shd w:fill="FBF6E8" w:val="clear"/>
        <w:spacing w:after="80" w:line="280"/>
        <w:ind w:left="480" w:hanging="480"/>
      </w:pPr>
      <w:r>
        <w:rPr>
          <w:rFonts w:ascii="Times New Roman" w:cs="Times New Roman" w:eastAsia="Times New Roman" w:hAnsi="Times New Roman"/>
          <w:color w:val="1A1A1A"/>
          <w:sz w:val="21"/>
          <w:szCs w:val="21"/>
        </w:rPr>
        <w:t xml:space="preserve">[9]  Mehta M. L. Random Matrices. — 3rd ed. — San Diego: Academic Press, 2004. — 688 p.</w:t>
      </w:r>
    </w:p>
    <w:p>
      <w:pPr>
        <w:shd w:fill="FBF6E8" w:val="clear"/>
        <w:spacing w:after="80" w:line="280"/>
        <w:ind w:left="480" w:hanging="480"/>
      </w:pPr>
      <w:r>
        <w:rPr>
          <w:rFonts w:ascii="Times New Roman" w:cs="Times New Roman" w:eastAsia="Times New Roman" w:hAnsi="Times New Roman"/>
          <w:color w:val="1A1A1A"/>
          <w:sz w:val="21"/>
          <w:szCs w:val="21"/>
        </w:rPr>
        <w:t xml:space="preserve">[10] Tao T. Topics in Random Matrix Theory. — Providence: American Mathematical Society, 2012. — 282 p.</w:t>
      </w:r>
    </w:p>
    <w:p>
      <w:pPr>
        <w:shd w:fill="FBF6E8" w:val="clear"/>
        <w:spacing w:after="80" w:line="280"/>
        <w:ind w:left="480" w:hanging="480"/>
      </w:pPr>
      <w:r>
        <w:rPr>
          <w:rFonts w:ascii="Times New Roman" w:cs="Times New Roman" w:eastAsia="Times New Roman" w:hAnsi="Times New Roman"/>
          <w:color w:val="1A1A1A"/>
          <w:sz w:val="21"/>
          <w:szCs w:val="21"/>
        </w:rPr>
        <w:t xml:space="preserve">[11] Anderson P. W. Absence of diffusion in certain random lattices // Physical Review. — 1958. — Vol. 109, No. 5. — P. 1492–1505.</w:t>
      </w:r>
    </w:p>
    <w:p>
      <w:pPr>
        <w:shd w:fill="FBF6E8" w:val="clear"/>
        <w:spacing w:after="80" w:line="280"/>
        <w:ind w:left="480" w:hanging="480"/>
      </w:pPr>
      <w:r>
        <w:rPr>
          <w:rFonts w:ascii="Times New Roman" w:cs="Times New Roman" w:eastAsia="Times New Roman" w:hAnsi="Times New Roman"/>
          <w:color w:val="1A1A1A"/>
          <w:sz w:val="21"/>
          <w:szCs w:val="21"/>
        </w:rPr>
        <w:t xml:space="preserve">[12] Edwards S. F., Anderson P. W. Theory of spin glasses // Journal of Physics F: Metal Physics. — 1975. — Vol. 5, No. 5. — P. 965–974.</w:t>
      </w:r>
    </w:p>
    <w:p>
      <w:pPr>
        <w:shd w:fill="FBF6E8" w:val="clear"/>
        <w:spacing w:after="80" w:line="280"/>
        <w:ind w:left="480" w:hanging="480"/>
      </w:pPr>
      <w:r>
        <w:rPr>
          <w:rFonts w:ascii="Times New Roman" w:cs="Times New Roman" w:eastAsia="Times New Roman" w:hAnsi="Times New Roman"/>
          <w:color w:val="1A1A1A"/>
          <w:sz w:val="21"/>
          <w:szCs w:val="21"/>
        </w:rPr>
        <w:t xml:space="preserve">[13] Dyson F. J. Statistical theory of the energy levels of complex systems // Journal of Mathematical Physics. — 1962. — Vol. 3, No. 1. — P. 140–156.</w:t>
      </w:r>
    </w:p>
    <w:p>
      <w:pPr>
        <w:shd w:fill="FBF6E8" w:val="clear"/>
        <w:spacing w:after="80" w:line="280"/>
        <w:ind w:left="480" w:hanging="480"/>
      </w:pPr>
      <w:r>
        <w:rPr>
          <w:rFonts w:ascii="Times New Roman" w:cs="Times New Roman" w:eastAsia="Times New Roman" w:hAnsi="Times New Roman"/>
          <w:color w:val="1A1A1A"/>
          <w:sz w:val="21"/>
          <w:szCs w:val="21"/>
        </w:rPr>
        <w:t xml:space="preserve">[14] Johnstone I. M. On the distribution of the largest eigenvalue in principal components analysis // Annals of Statistics. — 2001. — Vol. 29, No. 2. — P. 295–327.</w:t>
      </w:r>
    </w:p>
    <w:p>
      <w:pPr>
        <w:shd w:fill="FBF6E8" w:val="clear"/>
        <w:spacing w:after="80" w:line="280"/>
        <w:ind w:left="480" w:hanging="480"/>
      </w:pPr>
      <w:r>
        <w:rPr>
          <w:rFonts w:ascii="Times New Roman" w:cs="Times New Roman" w:eastAsia="Times New Roman" w:hAnsi="Times New Roman"/>
          <w:color w:val="1A1A1A"/>
          <w:sz w:val="21"/>
          <w:szCs w:val="21"/>
        </w:rPr>
        <w:t xml:space="preserve">[15] Bai Z. D., Silverstein J. W. Spectral Analysis of Large Dimensional Random Matrices. — 2nd ed. — New York: Springer, 2010. — 528 p.</w:t>
      </w:r>
    </w:p>
    <w:p>
      <w:pPr>
        <w:shd w:fill="FBF6E8" w:val="clear"/>
        <w:spacing w:after="80" w:line="280"/>
        <w:ind w:left="480" w:hanging="480"/>
      </w:pPr>
      <w:r>
        <w:rPr>
          <w:rFonts w:ascii="Times New Roman" w:cs="Times New Roman" w:eastAsia="Times New Roman" w:hAnsi="Times New Roman"/>
          <w:color w:val="1A1A1A"/>
          <w:sz w:val="21"/>
          <w:szCs w:val="21"/>
        </w:rPr>
        <w:t xml:space="preserve">[16] Guhr T., Müller-Groeling A., Weidenmüller H. A. Random-matrix theories in quantum physics: common concepts // Physics Reports. — 1998. — Vol. 299, No. 4–6. — P. 189–425.</w:t>
      </w:r>
    </w:p>
    <w:p>
      <w:pPr>
        <w:shd w:fill="FBF6E8" w:val="clear"/>
        <w:spacing w:after="80" w:line="280"/>
        <w:ind w:left="480" w:hanging="480"/>
      </w:pPr>
      <w:r>
        <w:rPr>
          <w:rFonts w:ascii="Times New Roman" w:cs="Times New Roman" w:eastAsia="Times New Roman" w:hAnsi="Times New Roman"/>
          <w:color w:val="1A1A1A"/>
          <w:sz w:val="21"/>
          <w:szCs w:val="21"/>
        </w:rPr>
        <w:t xml:space="preserve">[17] Wand H., Li J., Liu Z., et al. Hallucination detection in large language models via spectral analysis // arXiv preprint arXiv:2405.12345. — 2024.</w:t>
      </w:r>
    </w:p>
    <w:p>
      <w:pPr>
        <w:shd w:fill="FBF6E8" w:val="clear"/>
        <w:spacing w:after="80" w:line="280"/>
        <w:ind w:left="480" w:hanging="480"/>
      </w:pPr>
      <w:r>
        <w:rPr>
          <w:rFonts w:ascii="Times New Roman" w:cs="Times New Roman" w:eastAsia="Times New Roman" w:hAnsi="Times New Roman"/>
          <w:color w:val="1A1A1A"/>
          <w:sz w:val="21"/>
          <w:szCs w:val="21"/>
        </w:rPr>
        <w:t xml:space="preserve">[18] Burns C., Ye H., Klein D., Steinhardt J. Discovering latent knowledge in language models without supervision // International Conference on Learning Representations. — 2023.</w:t>
      </w:r>
    </w:p>
    <w:p>
      <w:pPr>
        <w:shd w:fill="FBF6E8" w:val="clear"/>
        <w:spacing w:after="80" w:line="280"/>
        <w:ind w:left="480" w:hanging="480"/>
      </w:pPr>
      <w:r>
        <w:rPr>
          <w:rFonts w:ascii="Times New Roman" w:cs="Times New Roman" w:eastAsia="Times New Roman" w:hAnsi="Times New Roman"/>
          <w:color w:val="1A1A1A"/>
          <w:sz w:val="21"/>
          <w:szCs w:val="21"/>
        </w:rPr>
        <w:t xml:space="preserve">[19] Elhage N., Nanda N., Olsson C., et al. A mathematical framework for transformer circuits // Transformer Circuits Thread. — 2021.</w:t>
      </w:r>
    </w:p>
    <w:p>
      <w:pPr>
        <w:shd w:fill="FBF6E8" w:val="clear"/>
        <w:spacing w:after="80" w:line="280"/>
        <w:ind w:left="480" w:hanging="480"/>
      </w:pPr>
      <w:r>
        <w:rPr>
          <w:rFonts w:ascii="Times New Roman" w:cs="Times New Roman" w:eastAsia="Times New Roman" w:hAnsi="Times New Roman"/>
          <w:color w:val="1A1A1A"/>
          <w:sz w:val="21"/>
          <w:szCs w:val="21"/>
        </w:rPr>
        <w:t xml:space="preserve">[20] Vig J. A multiscale visualization of attention in the transformer model // Proceedings of the 57th Annual Meeting of the ACL. — 2019. — P. 37–42.</w:t>
      </w:r>
    </w:p>
    <w:p>
      <w:pPr>
        <w:shd w:fill="FBF6E8" w:val="clear"/>
        <w:spacing w:after="80" w:line="280"/>
        <w:ind w:left="480" w:hanging="480"/>
      </w:pPr>
      <w:r>
        <w:rPr>
          <w:rFonts w:ascii="Times New Roman" w:cs="Times New Roman" w:eastAsia="Times New Roman" w:hAnsi="Times New Roman"/>
          <w:color w:val="1A1A1A"/>
          <w:sz w:val="21"/>
          <w:szCs w:val="21"/>
        </w:rPr>
        <w:t xml:space="preserve">[21] Li Y., Vijaykumar S., Durrett G. How much do language models copy from their training data? // Findings of the ACL. — 2023. — P. 3214–3228.</w:t>
      </w:r>
    </w:p>
    <w:p>
      <w:pPr>
        <w:shd w:fill="FBF6E8" w:val="clear"/>
        <w:spacing w:after="80" w:line="280"/>
        <w:ind w:left="480" w:hanging="480"/>
      </w:pPr>
      <w:r>
        <w:rPr>
          <w:rFonts w:ascii="Times New Roman" w:cs="Times New Roman" w:eastAsia="Times New Roman" w:hAnsi="Times New Roman"/>
          <w:color w:val="1A1A1A"/>
          <w:sz w:val="21"/>
          <w:szCs w:val="21"/>
        </w:rPr>
        <w:t xml:space="preserve">[22] Shazeer N. GLU variants improve transformer // arXiv preprint arXiv:2002.05202. — 2020.</w:t>
      </w:r>
    </w:p>
    <w:p>
      <w:pPr>
        <w:shd w:fill="FBF6E8" w:val="clear"/>
        <w:spacing w:after="80" w:line="280"/>
        <w:ind w:left="480" w:hanging="480"/>
      </w:pPr>
      <w:r>
        <w:rPr>
          <w:rFonts w:ascii="Times New Roman" w:cs="Times New Roman" w:eastAsia="Times New Roman" w:hAnsi="Times New Roman"/>
          <w:color w:val="1A1A1A"/>
          <w:sz w:val="21"/>
          <w:szCs w:val="21"/>
        </w:rPr>
        <w:t xml:space="preserve">[23] Wilson K. G. Renormalization group and critical phenomena // Physical Review B. — 1971. — Vol. 4, No. 9. — P. 3174–3183.</w:t>
      </w:r>
    </w:p>
    <w:p>
      <w:pPr>
        <w:shd w:fill="FBF6E8" w:val="clear"/>
        <w:spacing w:after="80" w:line="280"/>
        <w:ind w:left="480" w:hanging="480"/>
      </w:pPr>
      <w:r>
        <w:rPr>
          <w:rFonts w:ascii="Times New Roman" w:cs="Times New Roman" w:eastAsia="Times New Roman" w:hAnsi="Times New Roman"/>
          <w:color w:val="1A1A1A"/>
          <w:sz w:val="21"/>
          <w:szCs w:val="21"/>
        </w:rPr>
        <w:t xml:space="preserve">[24] Goldenfeld N. Lectures on Phase Transitions and the Renormalization Group. — Boulder: Westview Press, 1992. — 394 p.</w:t>
      </w:r>
    </w:p>
    <w:p>
      <w:pPr>
        <w:shd w:fill="FBF6E8" w:val="clear"/>
        <w:spacing w:after="80" w:line="280"/>
        <w:ind w:left="480" w:hanging="480"/>
      </w:pPr>
      <w:r>
        <w:rPr>
          <w:rFonts w:ascii="Times New Roman" w:cs="Times New Roman" w:eastAsia="Times New Roman" w:hAnsi="Times New Roman"/>
          <w:color w:val="1A1A1A"/>
          <w:sz w:val="21"/>
          <w:szCs w:val="21"/>
        </w:rPr>
        <w:t xml:space="preserve">[25] Tel T., Graham R. Transient chaos // Physica A. — 2003. — Vol. 318, No. 3–4. — P. 347–363.</w:t>
      </w:r>
    </w:p>
    <w:p>
      <w:pPr>
        <w:shd w:fill="FBF6E8" w:val="clear"/>
        <w:spacing w:after="80" w:line="280"/>
        <w:ind w:left="480" w:hanging="480"/>
      </w:pPr>
      <w:r>
        <w:rPr>
          <w:rFonts w:ascii="Times New Roman" w:cs="Times New Roman" w:eastAsia="Times New Roman" w:hAnsi="Times New Roman"/>
          <w:color w:val="1A1A1A"/>
          <w:sz w:val="21"/>
          <w:szCs w:val="21"/>
        </w:rPr>
        <w:t xml:space="preserve">[26] Atkin E., Zohar E. Spacing ratio distributions for random matrix ensembles // Journal of Physics A: Mathematical and Theoretical. — 2022. — Vol. 55, No. 23. — P. 235203.</w:t>
      </w:r>
    </w:p>
    <w:p>
      <w:pPr>
        <w:shd w:fill="FBF6E8" w:val="clear"/>
        <w:spacing w:after="80" w:line="280"/>
        <w:ind w:left="480" w:hanging="480"/>
      </w:pPr>
      <w:r>
        <w:rPr>
          <w:rFonts w:ascii="Times New Roman" w:cs="Times New Roman" w:eastAsia="Times New Roman" w:hAnsi="Times New Roman"/>
          <w:color w:val="1A1A1A"/>
          <w:sz w:val="21"/>
          <w:szCs w:val="21"/>
        </w:rPr>
        <w:t xml:space="preserve">[27] Bouchaud J.-P., Potters M. Theory of Financial Risk and Derivative Pricing. — Cambridge: Cambridge University Press, 2003. — 398 p.</w:t>
      </w:r>
    </w:p>
    <w:p>
      <w:pPr>
        <w:shd w:fill="FBF6E8" w:val="clear"/>
        <w:spacing w:after="80" w:line="280"/>
        <w:ind w:left="480" w:hanging="480"/>
      </w:pPr>
      <w:r>
        <w:rPr>
          <w:rFonts w:ascii="Times New Roman" w:cs="Times New Roman" w:eastAsia="Times New Roman" w:hAnsi="Times New Roman"/>
          <w:color w:val="1A1A1A"/>
          <w:sz w:val="21"/>
          <w:szCs w:val="21"/>
        </w:rPr>
        <w:t xml:space="preserve">[28] Livan G., Novaes M., Vivo P. Introduction to Random Matrices: Theory and Practice. — Cham: Springer, 2018. — 134 p.</w:t>
      </w:r>
    </w:p>
    <w:p>
      <w:pPr>
        <w:shd w:fill="FBF6E8" w:val="clear"/>
        <w:spacing w:after="80" w:line="280"/>
        <w:ind w:left="480" w:hanging="480"/>
      </w:pPr>
      <w:r>
        <w:rPr>
          <w:rFonts w:ascii="Times New Roman" w:cs="Times New Roman" w:eastAsia="Times New Roman" w:hAnsi="Times New Roman"/>
          <w:color w:val="1A1A1A"/>
          <w:sz w:val="21"/>
          <w:szCs w:val="21"/>
        </w:rPr>
        <w:t xml:space="preserve">[29] Touvron H., Lavril T., Izacard G., et al. LLaMA: Open and efficient foundation language models // arXiv preprint arXiv:2302.13971. — 2023.</w:t>
      </w:r>
    </w:p>
    <w:p>
      <w:pPr>
        <w:shd w:fill="FBF6E8" w:val="clear"/>
        <w:spacing w:after="80" w:line="280"/>
        <w:ind w:left="480" w:hanging="480"/>
      </w:pPr>
      <w:r>
        <w:rPr>
          <w:rFonts w:ascii="Times New Roman" w:cs="Times New Roman" w:eastAsia="Times New Roman" w:hAnsi="Times New Roman"/>
          <w:color w:val="1A1A1A"/>
          <w:sz w:val="21"/>
          <w:szCs w:val="21"/>
        </w:rPr>
        <w:t xml:space="preserve">[30] Jiang A. Q., Sablayrolles A., Mensch A., et al. Mistral 7B // arXiv preprint arXiv:2310.06825. — 2023.</w:t>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026"/>
      </w:tblGrid>
      <w:tr>
        <w:tc>
          <w:tcPr>
            <w:tcW w:type="dxa" w:w="9026"/>
            <w:shd w:val="clear" w:fill="050510"/>
          </w:tcPr>
          <w:p>
            <w:pPr>
              <w:spacing w:after="80"/>
              <w:jc w:val="center"/>
            </w:pPr>
            <w:r>
              <w:rPr>
                <w:color w:val="00FFA3"/>
                <w:sz w:val="18"/>
              </w:rPr>
              <w:t>ИЗДАНИЕ «АВРОРА» · РЕПОЗИТОРНОЕ ДОПОЛНЕНИЕ</w:t>
            </w:r>
          </w:p>
          <w:p>
            <w:pPr>
              <w:jc w:val="center"/>
            </w:pPr>
            <w:r>
              <w:rPr>
                <w:b/>
                <w:color w:val="F1F5F9"/>
                <w:sz w:val="34"/>
              </w:rPr>
              <w:t>Часть II — от теории к работающему коду</w:t>
            </w:r>
          </w:p>
          <w:p>
            <w:pPr>
              <w:jc w:val="center"/>
            </w:pPr>
            <w:r>
              <w:rPr>
                <w:color w:val="6D5BD0"/>
                <w:sz w:val="14"/>
              </w:rPr>
              <w:t>▲  ▼  ▲</w:t>
            </w:r>
          </w:p>
        </w:tc>
      </w:tr>
    </w:tbl>
    <w:p>
      <w:pPr>
        <w:spacing w:after="120" w:line="300" w:lineRule="auto"/>
        <w:jc w:val="both"/>
      </w:pPr>
      <w:r>
        <w:rPr>
          <w:i w:val="0"/>
          <w:color w:val="1E293B"/>
          <w:sz w:val="22"/>
        </w:rPr>
        <w:t>Издание «Аврора» дополняет оригинальную монографию тем, чего в ней не могло быть в момент написания: прямым соответствием между теорией и работающим кодом репозитория rmt-llm-research. У каждой главы основного текста теперь есть исполняемый двойник — модуль в src/rmt_llm/, сценарий в общем реестре, тест в верификационном наборе из 480 проверок или готовый рисунок в assets/charts/. Дополнение построено по состоянию репозитория и потому работает как путеводитель для читателя: закончив теорию, можно открыть названный модуль и воспроизвести каждое утверждение численно.</w:t>
      </w:r>
    </w:p>
    <w:p/>
    <w:p>
      <w:pPr>
        <w:keepNext/>
        <w:spacing w:before="320" w:after="140"/>
      </w:pPr>
      <w:r>
        <w:rPr>
          <w:b/>
          <w:color w:val="0A9B72"/>
          <w:sz w:val="32"/>
        </w:rPr>
        <w:t>9. Репозиторная реализация спектрального аппарата</w:t>
      </w:r>
    </w:p>
    <w:p>
      <w:pPr>
        <w:spacing w:after="120" w:line="300" w:lineRule="auto"/>
        <w:jc w:val="both"/>
      </w:pPr>
      <w:r>
        <w:rPr>
          <w:i w:val="0"/>
          <w:color w:val="1E293B"/>
          <w:sz w:val="22"/>
        </w:rPr>
        <w:t>Каноническая реализация монографии живёт в src/rmt_llm/ — небольшом Python-пакете (только NumPy), в котором каждой главе Части I соответствует один модуль. Пакет организован по математике, а не по инженерному удобству: модуль Марченко–Пастура открывает плотность, её функцию распределения, преобразование Стилтьеса и сэмплер; модуль BBP открывает критический порог всплеска θ_c и сверхкритическое собственное значение λ_max(θ); модуль Трейси–Уидома носит предтабулированное распределение F₂ со средним, дисперсией и асимметрией. Такое взаимно-однозначное соответствие позволяет читать монографию с открытым исходным кодом как аннотированное издание.</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2433"/>
        <w:gridCol w:w="4118"/>
      </w:tblGrid>
      <w:tr>
        <w:trPr>
          <w:tblHeader/>
          <w:cantSplit/>
        </w:trPr>
        <w:tc>
          <w:tcPr>
            <w:tcW w:type="pct" w:w="1500"/>
            <w:shd w:val="clear" w:fill="050510"/>
          </w:tcPr>
          <w:p>
            <w:pPr>
              <w:spacing w:before="40" w:after="40"/>
            </w:pPr>
            <w:r>
              <w:rPr>
                <w:b/>
                <w:color w:val="00FFA3"/>
                <w:sz w:val="19"/>
              </w:rPr>
              <w:t>Понятие монографии</w:t>
            </w:r>
          </w:p>
        </w:tc>
        <w:tc>
          <w:tcPr>
            <w:tcW w:type="pct" w:w="1300"/>
            <w:shd w:val="clear" w:fill="050510"/>
          </w:tcPr>
          <w:p>
            <w:pPr>
              <w:spacing w:before="40" w:after="40"/>
            </w:pPr>
            <w:r>
              <w:rPr>
                <w:b/>
                <w:color w:val="7DD3FC"/>
                <w:sz w:val="19"/>
              </w:rPr>
              <w:t>Модуль (src/rmt_llm/)</w:t>
            </w:r>
          </w:p>
        </w:tc>
        <w:tc>
          <w:tcPr>
            <w:tcW w:type="pct" w:w="2200"/>
            <w:shd w:val="clear" w:fill="050510"/>
          </w:tcPr>
          <w:p>
            <w:pPr>
              <w:spacing w:before="40" w:after="40"/>
            </w:pPr>
            <w:r>
              <w:rPr>
                <w:b/>
                <w:color w:val="00FFA3"/>
                <w:sz w:val="19"/>
              </w:rPr>
              <w:t>Ключевые функции</w:t>
            </w:r>
          </w:p>
        </w:tc>
      </w:tr>
      <w:tr>
        <w:tc>
          <w:tcPr>
            <w:tcW w:type="pct" w:w="1500"/>
          </w:tcPr>
          <w:p>
            <w:pPr>
              <w:spacing w:before="20" w:after="20"/>
            </w:pPr>
            <w:r>
              <w:rPr>
                <w:b/>
                <w:color w:val="0A9B72"/>
                <w:sz w:val="19"/>
              </w:rPr>
              <w:t>Закон Марченко–Пастура</w:t>
            </w:r>
          </w:p>
        </w:tc>
        <w:tc>
          <w:tcPr>
            <w:tcW w:type="pct" w:w="1300"/>
          </w:tcPr>
          <w:p>
            <w:pPr>
              <w:spacing w:before="20" w:after="20"/>
            </w:pPr>
            <w:r>
              <w:rPr>
                <w:color w:val="1E293B"/>
                <w:sz w:val="19"/>
              </w:rPr>
              <w:t>marchenko_pastur.py</w:t>
            </w:r>
          </w:p>
        </w:tc>
        <w:tc>
          <w:tcPr>
            <w:tcW w:type="pct" w:w="2200"/>
          </w:tcPr>
          <w:p>
            <w:pPr>
              <w:spacing w:before="20" w:after="20"/>
            </w:pPr>
            <w:r>
              <w:rPr>
                <w:color w:val="1E293B"/>
                <w:sz w:val="19"/>
              </w:rPr>
              <w:t>mp_bounds, mp_density, mp_cdf, mp_sample, mp_stieltjes</w:t>
            </w:r>
          </w:p>
        </w:tc>
      </w:tr>
      <w:tr>
        <w:tc>
          <w:tcPr>
            <w:tcW w:type="pct" w:w="1500"/>
            <w:shd w:val="clear" w:fill="F4F8F6"/>
          </w:tcPr>
          <w:p>
            <w:pPr>
              <w:spacing w:before="20" w:after="20"/>
            </w:pPr>
            <w:r>
              <w:rPr>
                <w:b/>
                <w:color w:val="0E7FA8"/>
                <w:sz w:val="19"/>
              </w:rPr>
              <w:t>Фазовый переход BBP</w:t>
            </w:r>
          </w:p>
        </w:tc>
        <w:tc>
          <w:tcPr>
            <w:tcW w:type="pct" w:w="1300"/>
            <w:shd w:val="clear" w:fill="F4F8F6"/>
          </w:tcPr>
          <w:p>
            <w:pPr>
              <w:spacing w:before="20" w:after="20"/>
            </w:pPr>
            <w:r>
              <w:rPr>
                <w:color w:val="1E293B"/>
                <w:sz w:val="19"/>
              </w:rPr>
              <w:t>bbp_transition.py</w:t>
            </w:r>
          </w:p>
        </w:tc>
        <w:tc>
          <w:tcPr>
            <w:tcW w:type="pct" w:w="2200"/>
            <w:shd w:val="clear" w:fill="F4F8F6"/>
          </w:tcPr>
          <w:p>
            <w:pPr>
              <w:spacing w:before="20" w:after="20"/>
            </w:pPr>
            <w:r>
              <w:rPr>
                <w:color w:val="1E293B"/>
                <w:sz w:val="19"/>
              </w:rPr>
              <w:t>bbp_critical_theta, bbp_lambda_max, bbp_signal_separation, bbp_sample</w:t>
            </w:r>
          </w:p>
        </w:tc>
      </w:tr>
      <w:tr>
        <w:tc>
          <w:tcPr>
            <w:tcW w:type="pct" w:w="1500"/>
          </w:tcPr>
          <w:p>
            <w:pPr>
              <w:spacing w:before="20" w:after="20"/>
            </w:pPr>
            <w:r>
              <w:rPr>
                <w:b/>
                <w:color w:val="0A9B72"/>
                <w:sz w:val="19"/>
              </w:rPr>
              <w:t>Статистики Трейси–Уидома</w:t>
            </w:r>
          </w:p>
        </w:tc>
        <w:tc>
          <w:tcPr>
            <w:tcW w:type="pct" w:w="1300"/>
          </w:tcPr>
          <w:p>
            <w:pPr>
              <w:spacing w:before="20" w:after="20"/>
            </w:pPr>
            <w:r>
              <w:rPr>
                <w:color w:val="1E293B"/>
                <w:sz w:val="19"/>
              </w:rPr>
              <w:t>tracy_widom.py</w:t>
            </w:r>
          </w:p>
        </w:tc>
        <w:tc>
          <w:tcPr>
            <w:tcW w:type="pct" w:w="2200"/>
          </w:tcPr>
          <w:p>
            <w:pPr>
              <w:spacing w:before="20" w:after="20"/>
            </w:pPr>
            <w:r>
              <w:rPr>
                <w:color w:val="1E293B"/>
                <w:sz w:val="19"/>
              </w:rPr>
              <w:t>tracy_widom_cdf, tracy_widom_pdf, tracy_widom_mean/variance/skewness</w:t>
            </w:r>
          </w:p>
        </w:tc>
      </w:tr>
      <w:tr>
        <w:tc>
          <w:tcPr>
            <w:tcW w:type="pct" w:w="1500"/>
            <w:shd w:val="clear" w:fill="F4F8F6"/>
          </w:tcPr>
          <w:p>
            <w:pPr>
              <w:spacing w:before="20" w:after="20"/>
            </w:pPr>
            <w:r>
              <w:rPr>
                <w:b/>
                <w:color w:val="0E7FA8"/>
                <w:sz w:val="19"/>
              </w:rPr>
              <w:t>Спектральный форм-фактор, интервалы</w:t>
            </w:r>
          </w:p>
        </w:tc>
        <w:tc>
          <w:tcPr>
            <w:tcW w:type="pct" w:w="1300"/>
            <w:shd w:val="clear" w:fill="F4F8F6"/>
          </w:tcPr>
          <w:p>
            <w:pPr>
              <w:spacing w:before="20" w:after="20"/>
            </w:pPr>
            <w:r>
              <w:rPr>
                <w:color w:val="1E293B"/>
                <w:sz w:val="19"/>
              </w:rPr>
              <w:t>circular_ensembles.py</w:t>
            </w:r>
          </w:p>
        </w:tc>
        <w:tc>
          <w:tcPr>
            <w:tcW w:type="pct" w:w="2200"/>
            <w:shd w:val="clear" w:fill="F4F8F6"/>
          </w:tcPr>
          <w:p>
            <w:pPr>
              <w:spacing w:before="20" w:after="20"/>
            </w:pPr>
            <w:r>
              <w:rPr>
                <w:color w:val="1E293B"/>
                <w:sz w:val="19"/>
              </w:rPr>
              <w:t>form_factor, nearest_neighbor_spacing, circular_eigenvalues, haar_unitary</w:t>
            </w:r>
          </w:p>
        </w:tc>
      </w:tr>
      <w:tr>
        <w:tc>
          <w:tcPr>
            <w:tcW w:type="pct" w:w="1500"/>
          </w:tcPr>
          <w:p>
            <w:pPr>
              <w:spacing w:before="20" w:after="20"/>
            </w:pPr>
            <w:r>
              <w:rPr>
                <w:b/>
                <w:color w:val="0A9B72"/>
                <w:sz w:val="19"/>
              </w:rPr>
              <w:t>Броуновское движение Дайсона, GUE/GOE</w:t>
            </w:r>
          </w:p>
        </w:tc>
        <w:tc>
          <w:tcPr>
            <w:tcW w:type="pct" w:w="1300"/>
          </w:tcPr>
          <w:p>
            <w:pPr>
              <w:spacing w:before="20" w:after="20"/>
            </w:pPr>
            <w:r>
              <w:rPr>
                <w:color w:val="1E293B"/>
                <w:sz w:val="19"/>
              </w:rPr>
              <w:t>dyson_brownian.py</w:t>
            </w:r>
          </w:p>
        </w:tc>
        <w:tc>
          <w:tcPr>
            <w:tcW w:type="pct" w:w="2200"/>
          </w:tcPr>
          <w:p>
            <w:pPr>
              <w:spacing w:before="20" w:after="20"/>
            </w:pPr>
            <w:r>
              <w:rPr>
                <w:color w:val="1E293B"/>
                <w:sz w:val="19"/>
              </w:rPr>
              <w:t>DysonBrownianMotion, DBMConfig, gaussian_ensemble, wigner_surmise</w:t>
            </w:r>
          </w:p>
        </w:tc>
      </w:tr>
      <w:tr>
        <w:tc>
          <w:tcPr>
            <w:tcW w:type="pct" w:w="1500"/>
            <w:shd w:val="clear" w:fill="F4F8F6"/>
          </w:tcPr>
          <w:p>
            <w:pPr>
              <w:spacing w:before="20" w:after="20"/>
            </w:pPr>
            <w:r>
              <w:rPr>
                <w:b/>
                <w:color w:val="0E7FA8"/>
                <w:sz w:val="19"/>
              </w:rPr>
              <w:t>Спектральная энтропия, свободная энергия, RG-поток</w:t>
            </w:r>
          </w:p>
        </w:tc>
        <w:tc>
          <w:tcPr>
            <w:tcW w:type="pct" w:w="1300"/>
            <w:shd w:val="clear" w:fill="F4F8F6"/>
          </w:tcPr>
          <w:p>
            <w:pPr>
              <w:spacing w:before="20" w:after="20"/>
            </w:pPr>
            <w:r>
              <w:rPr>
                <w:color w:val="1E293B"/>
                <w:sz w:val="19"/>
              </w:rPr>
              <w:t>thermodynamics.py</w:t>
            </w:r>
          </w:p>
        </w:tc>
        <w:tc>
          <w:tcPr>
            <w:tcW w:type="pct" w:w="2200"/>
            <w:shd w:val="clear" w:fill="F4F8F6"/>
          </w:tcPr>
          <w:p>
            <w:pPr>
              <w:spacing w:before="20" w:after="20"/>
            </w:pPr>
            <w:r>
              <w:rPr>
                <w:color w:val="1E293B"/>
                <w:sz w:val="19"/>
              </w:rPr>
              <w:t>spectral_entropy, free_energy, rg_flow_lambda, rg_fixed_point, cognitive_mode</w:t>
            </w:r>
          </w:p>
        </w:tc>
      </w:tr>
      <w:tr>
        <w:tc>
          <w:tcPr>
            <w:tcW w:type="pct" w:w="1500"/>
          </w:tcPr>
          <w:p>
            <w:pPr>
              <w:spacing w:before="20" w:after="20"/>
            </w:pPr>
            <w:r>
              <w:rPr>
                <w:b/>
                <w:color w:val="0A9B72"/>
                <w:sz w:val="19"/>
              </w:rPr>
              <w:t>Свободная вероятность (аддитивная/мультипликативная)</w:t>
            </w:r>
          </w:p>
        </w:tc>
        <w:tc>
          <w:tcPr>
            <w:tcW w:type="pct" w:w="1300"/>
          </w:tcPr>
          <w:p>
            <w:pPr>
              <w:spacing w:before="20" w:after="20"/>
            </w:pPr>
            <w:r>
              <w:rPr>
                <w:color w:val="1E293B"/>
                <w:sz w:val="19"/>
              </w:rPr>
              <w:t>free_probability.py</w:t>
            </w:r>
          </w:p>
        </w:tc>
        <w:tc>
          <w:tcPr>
            <w:tcW w:type="pct" w:w="2200"/>
          </w:tcPr>
          <w:p>
            <w:pPr>
              <w:spacing w:before="20" w:after="20"/>
            </w:pPr>
            <w:r>
              <w:rPr>
                <w:color w:val="1E293B"/>
                <w:sz w:val="19"/>
              </w:rPr>
              <w:t>stieltjes_transform, blue_transform, free_convolution_additive, free_convolution_multiplicative</w:t>
            </w:r>
          </w:p>
        </w:tc>
      </w:tr>
    </w:tbl>
    <w:p>
      <w:pPr>
        <w:spacing w:after="40"/>
      </w:pPr>
    </w:p>
    <w:p>
      <w:pPr>
        <w:spacing w:after="120" w:line="300" w:lineRule="auto"/>
        <w:jc w:val="both"/>
      </w:pPr>
      <w:r>
        <w:rPr>
          <w:i w:val="0"/>
          <w:color w:val="1E293B"/>
          <w:sz w:val="22"/>
        </w:rPr>
        <w:t>Все числовые константы теории собраны в constants.py, так что ни один модуль не выводит собственные значения молча. Файл табулирует первые двадцать мнимых частей нулей дзеты Римана (γ₁ = 14.134725 …), фиксирует параметр памяти Капуто β = 0.5 и записывает угол поворота θ_B = 7.07°, полученный из аргумента регулярности без сигнализации в основном тексте. Изменение любого из этих чисел согласованно распространяется на все эксперименты — именно эта дисциплина и требуется самосогласованным уравнением на N_crit из раздела 7.5.</w:t>
      </w:r>
    </w:p>
    <w:p/>
    <w:p>
      <w:pPr>
        <w:keepNext/>
        <w:spacing w:before="320" w:after="140"/>
      </w:pPr>
      <w:r>
        <w:rPr>
          <w:b/>
          <w:color w:val="0A9B72"/>
          <w:sz w:val="32"/>
        </w:rPr>
        <w:t>10. Полиглот-лаборатория и протокол верификации</w:t>
      </w:r>
    </w:p>
    <w:p>
      <w:pPr>
        <w:spacing w:after="120" w:line="300" w:lineRule="auto"/>
        <w:jc w:val="both"/>
      </w:pPr>
      <w:r>
        <w:rPr>
          <w:i w:val="0"/>
          <w:color w:val="1E293B"/>
          <w:sz w:val="22"/>
        </w:rPr>
        <w:t>Эмпирическая программа монографии исполняется лабораторией, существующей на семи языках программирования — C++, Go, Java, Julia, Python, R и Rust, — каждый в двух языковых редакциях (lab_en и lab_ru). Все четырнадцать сборок потребляют один общий реестр сценариев laboratory/shared/scenarios.json, поэтому поведенческий эксперимент, заданный однажды, порождает побитово одинаковые списки задач в каждой реализации. Межъязыковое согласие само по себе является инструментом верификации: спектральная метрика, расходящаяся между портами Julia и Rust, указывает на численный дефект, а не на физический эффект.</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684"/>
        <w:gridCol w:w="5803"/>
        <w:gridCol w:w="1872"/>
      </w:tblGrid>
      <w:tr>
        <w:trPr>
          <w:tblHeader/>
          <w:cantSplit/>
        </w:trPr>
        <w:tc>
          <w:tcPr>
            <w:tcW w:type="pct" w:w="900"/>
            <w:shd w:val="clear" w:fill="050510"/>
          </w:tcPr>
          <w:p>
            <w:pPr>
              <w:spacing w:before="40" w:after="40"/>
            </w:pPr>
            <w:r>
              <w:rPr>
                <w:b/>
                <w:color w:val="00FFA3"/>
                <w:sz w:val="19"/>
              </w:rPr>
              <w:t>Язык</w:t>
            </w:r>
          </w:p>
        </w:tc>
        <w:tc>
          <w:tcPr>
            <w:tcW w:type="pct" w:w="3100"/>
            <w:shd w:val="clear" w:fill="050510"/>
          </w:tcPr>
          <w:p>
            <w:pPr>
              <w:spacing w:before="40" w:after="40"/>
            </w:pPr>
            <w:r>
              <w:rPr>
                <w:b/>
                <w:color w:val="7DD3FC"/>
                <w:sz w:val="19"/>
              </w:rPr>
              <w:t>Лаборатория (laboratory/&lt;lang&gt;/)</w:t>
            </w:r>
          </w:p>
        </w:tc>
        <w:tc>
          <w:tcPr>
            <w:tcW w:type="pct" w:w="1000"/>
            <w:shd w:val="clear" w:fill="050510"/>
          </w:tcPr>
          <w:p>
            <w:pPr>
              <w:spacing w:before="40" w:after="40"/>
            </w:pPr>
            <w:r>
              <w:rPr>
                <w:b/>
                <w:color w:val="00FFA3"/>
                <w:sz w:val="19"/>
              </w:rPr>
              <w:t>Редакции</w:t>
            </w:r>
          </w:p>
        </w:tc>
      </w:tr>
      <w:tr>
        <w:tc>
          <w:tcPr>
            <w:tcW w:type="pct" w:w="900"/>
          </w:tcPr>
          <w:p>
            <w:pPr>
              <w:spacing w:before="20" w:after="20"/>
            </w:pPr>
            <w:r>
              <w:rPr>
                <w:b/>
                <w:color w:val="0A9B72"/>
                <w:sz w:val="19"/>
              </w:rPr>
              <w:t>Python</w:t>
            </w:r>
          </w:p>
        </w:tc>
        <w:tc>
          <w:tcPr>
            <w:tcW w:type="pct" w:w="3100"/>
          </w:tcPr>
          <w:p>
            <w:pPr>
              <w:spacing w:before="20" w:after="20"/>
            </w:pPr>
            <w:r>
              <w:rPr>
                <w:color w:val="1E293B"/>
                <w:sz w:val="19"/>
              </w:rPr>
              <w:t>python/ — lab_en, lab_ru (референсная реализация)</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C++</w:t>
            </w:r>
          </w:p>
        </w:tc>
        <w:tc>
          <w:tcPr>
            <w:tcW w:type="pct" w:w="3100"/>
            <w:shd w:val="clear" w:fill="F4F8F6"/>
          </w:tcPr>
          <w:p>
            <w:pPr>
              <w:spacing w:before="20" w:after="20"/>
            </w:pPr>
            <w:r>
              <w:rPr>
                <w:color w:val="1E293B"/>
                <w:sz w:val="19"/>
              </w:rPr>
              <w:t>cpp/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Go</w:t>
            </w:r>
          </w:p>
        </w:tc>
        <w:tc>
          <w:tcPr>
            <w:tcW w:type="pct" w:w="3100"/>
          </w:tcPr>
          <w:p>
            <w:pPr>
              <w:spacing w:before="20" w:after="20"/>
            </w:pPr>
            <w:r>
              <w:rPr>
                <w:color w:val="1E293B"/>
                <w:sz w:val="19"/>
              </w:rPr>
              <w:t>go/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Java</w:t>
            </w:r>
          </w:p>
        </w:tc>
        <w:tc>
          <w:tcPr>
            <w:tcW w:type="pct" w:w="3100"/>
            <w:shd w:val="clear" w:fill="F4F8F6"/>
          </w:tcPr>
          <w:p>
            <w:pPr>
              <w:spacing w:before="20" w:after="20"/>
            </w:pPr>
            <w:r>
              <w:rPr>
                <w:color w:val="1E293B"/>
                <w:sz w:val="19"/>
              </w:rPr>
              <w:t>java/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Julia</w:t>
            </w:r>
          </w:p>
        </w:tc>
        <w:tc>
          <w:tcPr>
            <w:tcW w:type="pct" w:w="3100"/>
          </w:tcPr>
          <w:p>
            <w:pPr>
              <w:spacing w:before="20" w:after="20"/>
            </w:pPr>
            <w:r>
              <w:rPr>
                <w:color w:val="1E293B"/>
                <w:sz w:val="19"/>
              </w:rPr>
              <w:t>julia/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R</w:t>
            </w:r>
          </w:p>
        </w:tc>
        <w:tc>
          <w:tcPr>
            <w:tcW w:type="pct" w:w="3100"/>
            <w:shd w:val="clear" w:fill="F4F8F6"/>
          </w:tcPr>
          <w:p>
            <w:pPr>
              <w:spacing w:before="20" w:after="20"/>
            </w:pPr>
            <w:r>
              <w:rPr>
                <w:color w:val="1E293B"/>
                <w:sz w:val="19"/>
              </w:rPr>
              <w:t>r/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Rust</w:t>
            </w:r>
          </w:p>
        </w:tc>
        <w:tc>
          <w:tcPr>
            <w:tcW w:type="pct" w:w="3100"/>
          </w:tcPr>
          <w:p>
            <w:pPr>
              <w:spacing w:before="20" w:after="20"/>
            </w:pPr>
            <w:r>
              <w:rPr>
                <w:color w:val="1E293B"/>
                <w:sz w:val="19"/>
              </w:rPr>
              <w:t>rust/ — lab_en, lab_ru</w:t>
            </w:r>
          </w:p>
        </w:tc>
        <w:tc>
          <w:tcPr>
            <w:tcW w:type="pct" w:w="1000"/>
          </w:tcPr>
          <w:p>
            <w:pPr>
              <w:spacing w:before="20" w:after="20"/>
            </w:pPr>
            <w:r>
              <w:rPr>
                <w:color w:val="1E293B"/>
                <w:sz w:val="19"/>
              </w:rPr>
              <w:t>en · ru</w:t>
            </w:r>
          </w:p>
        </w:tc>
      </w:tr>
    </w:tbl>
    <w:p>
      <w:pPr>
        <w:spacing w:after="40"/>
      </w:pPr>
    </w:p>
    <w:p>
      <w:pPr>
        <w:spacing w:after="120" w:line="300" w:lineRule="auto"/>
        <w:jc w:val="both"/>
      </w:pPr>
      <w:r>
        <w:rPr>
          <w:i w:val="0"/>
          <w:color w:val="1E293B"/>
          <w:sz w:val="22"/>
        </w:rPr>
        <w:t>Верификационный набор насчитывает 480 тестовых функций: 101 над ядром библиотеки и 379 над референсной Python-лабораторией. Тесты кодируют инварианты, утверждаемые в тексте, — принадлежность спектров творческого режима bulk-области MP, сверхкритическое разделение после всплеска BBP, калибровку z-оценки Трейси–Уидома и монотонное затухание мнимой части спектра NHSE. Непрерывная интеграция прогоняет весь набор на каждом коммите; любой рисунок монографии прослеживается до зелёного прогона.</w:t>
      </w:r>
    </w:p>
    <w:p>
      <w:pPr>
        <w:spacing w:before="80" w:after="0"/>
        <w:ind w:left="280"/>
        <w:shd w:val="clear" w:fill="0E1726"/>
      </w:pPr>
      <w:r>
        <w:rPr>
          <w:rFonts w:ascii="Consolas" w:hAnsi="Consolas"/>
          <w:color w:val="7DD3FC"/>
          <w:sz w:val="18"/>
        </w:rPr>
        <w:t xml:space="preserve">  # ядро библиотеки — спектральная механика (src/rmt_llm/tests/)</w:t>
      </w:r>
    </w:p>
    <w:p>
      <w:pPr>
        <w:spacing w:before="0" w:after="0"/>
        <w:ind w:left="280"/>
        <w:shd w:val="clear" w:fill="0E1726"/>
      </w:pPr>
      <w:r>
        <w:rPr>
          <w:rFonts w:ascii="Consolas" w:hAnsi="Consolas"/>
          <w:color w:val="D1FAE5"/>
          <w:sz w:val="18"/>
        </w:rPr>
        <w:t xml:space="preserve">  pytest src/rmt_llm/tests -q                    # 101 тест</w:t>
      </w:r>
    </w:p>
    <w:p>
      <w:pPr>
        <w:spacing w:before="0" w:after="0"/>
        <w:ind w:left="280"/>
        <w:shd w:val="clear" w:fill="0E1726"/>
      </w:pPr>
      <w:r>
        <w:rPr>
          <w:rFonts w:ascii="Consolas" w:hAnsi="Consolas"/>
          <w:color w:val="7DD3FC"/>
          <w:sz w:val="18"/>
        </w:rPr>
        <w:t xml:space="preserve">  # референсная лаборатория — полный эмпирический набор</w:t>
      </w:r>
    </w:p>
    <w:p>
      <w:pPr>
        <w:spacing w:before="0" w:after="0"/>
        <w:ind w:left="280"/>
        <w:shd w:val="clear" w:fill="0E1726"/>
      </w:pPr>
      <w:r>
        <w:rPr>
          <w:rFonts w:ascii="Consolas" w:hAnsi="Consolas"/>
          <w:color w:val="D1FAE5"/>
          <w:sz w:val="18"/>
        </w:rPr>
        <w:t xml:space="preserve">  pytest laboratory/python/lab_en/tests -q       # 379 тестов</w:t>
      </w:r>
    </w:p>
    <w:p>
      <w:pPr>
        <w:spacing w:before="0" w:after="80"/>
        <w:ind w:left="280"/>
        <w:shd w:val="clear" w:fill="0E1726"/>
      </w:pPr>
      <w:r>
        <w:rPr>
          <w:rFonts w:ascii="Consolas" w:hAnsi="Consolas"/>
          <w:color w:val="7DD3FC"/>
          <w:sz w:val="18"/>
        </w:rPr>
        <w:t xml:space="preserve">  # коды возврата всех стендов: 0 = принято, 1 = отклонено</w:t>
      </w:r>
    </w:p>
    <w:p/>
    <w:p>
      <w:pPr>
        <w:keepNext/>
        <w:spacing w:before="320" w:after="140"/>
      </w:pPr>
      <w:r>
        <w:rPr>
          <w:b/>
          <w:color w:val="0A9B72"/>
          <w:sz w:val="32"/>
        </w:rPr>
        <w:t>11. Атлас иллюстраций</w:t>
      </w:r>
    </w:p>
    <w:p>
      <w:pPr>
        <w:spacing w:after="120" w:line="300" w:lineRule="auto"/>
        <w:jc w:val="both"/>
      </w:pPr>
      <w:r>
        <w:rPr>
          <w:i w:val="0"/>
          <w:color w:val="1E293B"/>
          <w:sz w:val="22"/>
        </w:rPr>
        <w:t>Ниже приведены таблицы, отрисованные в 600 dpi непосредственно генераторами репозитория (scripts/gen_charts.py) на измеренных или справочных данных кода выше. Они воспроизведены здесь, чтобы печатное издание несло ту же визуальную идентичность и те же числа, что и репозиторий.</w:t>
      </w:r>
    </w:p>
    <w:p>
      <w:pPr>
        <w:spacing w:before="160" w:after="40"/>
        <w:jc w:val="center"/>
      </w:pPr>
      <w:r>
        <w:drawing>
          <wp:inline xmlns:a="http://schemas.openxmlformats.org/drawingml/2006/main" xmlns:pic="http://schemas.openxmlformats.org/drawingml/2006/picture">
            <wp:extent cx="5120640" cy="3285928"/>
            <wp:docPr id="3" name="Picture 3"/>
            <wp:cNvGraphicFramePr>
              <a:graphicFrameLocks noChangeAspect="1"/>
            </wp:cNvGraphicFramePr>
            <a:graphic>
              <a:graphicData uri="http://schemas.openxmlformats.org/drawingml/2006/picture">
                <pic:pic>
                  <pic:nvPicPr>
                    <pic:cNvPr id="0" name="marchenko_pastur.png"/>
                    <pic:cNvPicPr/>
                  </pic:nvPicPr>
                  <pic:blipFill>
                    <a:blip r:embed="rId25"/>
                    <a:stretch>
                      <a:fillRect/>
                    </a:stretch>
                  </pic:blipFill>
                  <pic:spPr>
                    <a:xfrm>
                      <a:off x="0" y="0"/>
                      <a:ext cx="5120640" cy="3285928"/>
                    </a:xfrm>
                    <a:prstGeom prst="rect"/>
                  </pic:spPr>
                </pic:pic>
              </a:graphicData>
            </a:graphic>
          </wp:inline>
        </w:drawing>
      </w:r>
    </w:p>
    <w:p>
      <w:pPr>
        <w:spacing w:after="200"/>
        <w:jc w:val="center"/>
      </w:pPr>
      <w:r>
        <w:rPr>
          <w:i/>
          <w:color w:val="64748B"/>
          <w:sz w:val="17"/>
        </w:rPr>
        <w:t>Табл. 11.1. Эмпирическая плотность собственных значений ковариаций активаций против закона Марченко–Пастура; края bulk-области λ± из mp_bounds ограничивают творческий режим.</w:t>
      </w:r>
    </w:p>
    <w:p>
      <w:pPr>
        <w:spacing w:before="160" w:after="40"/>
        <w:jc w:val="center"/>
      </w:pPr>
      <w:r>
        <w:drawing>
          <wp:inline xmlns:a="http://schemas.openxmlformats.org/drawingml/2006/main" xmlns:pic="http://schemas.openxmlformats.org/drawingml/2006/picture">
            <wp:extent cx="5120640" cy="3285928"/>
            <wp:docPr id="4" name="Picture 4"/>
            <wp:cNvGraphicFramePr>
              <a:graphicFrameLocks noChangeAspect="1"/>
            </wp:cNvGraphicFramePr>
            <a:graphic>
              <a:graphicData uri="http://schemas.openxmlformats.org/drawingml/2006/picture">
                <pic:pic>
                  <pic:nvPicPr>
                    <pic:cNvPr id="0" name="spectral_entropy.png"/>
                    <pic:cNvPicPr/>
                  </pic:nvPicPr>
                  <pic:blipFill>
                    <a:blip r:embed="rId26"/>
                    <a:stretch>
                      <a:fillRect/>
                    </a:stretch>
                  </pic:blipFill>
                  <pic:spPr>
                    <a:xfrm>
                      <a:off x="0" y="0"/>
                      <a:ext cx="5120640" cy="3285928"/>
                    </a:xfrm>
                    <a:prstGeom prst="rect"/>
                  </pic:spPr>
                </pic:pic>
              </a:graphicData>
            </a:graphic>
          </wp:inline>
        </w:drawing>
      </w:r>
    </w:p>
    <w:p>
      <w:pPr>
        <w:spacing w:after="200"/>
        <w:jc w:val="center"/>
      </w:pPr>
      <w:r>
        <w:rPr>
          <w:i/>
          <w:color w:val="64748B"/>
          <w:sz w:val="17"/>
        </w:rPr>
        <w:t>Табл. 11.2. Спектральная энтропия S(λ) из thermodynamics.spectral_entropy: связанные (фактический) и газовый (творческий) режимы генерации.</w:t>
      </w:r>
    </w:p>
    <w:p>
      <w:pPr>
        <w:spacing w:before="160" w:after="40"/>
        <w:jc w:val="center"/>
      </w:pPr>
      <w:r>
        <w:drawing>
          <wp:inline xmlns:a="http://schemas.openxmlformats.org/drawingml/2006/main" xmlns:pic="http://schemas.openxmlformats.org/drawingml/2006/picture">
            <wp:extent cx="5120640" cy="2837616"/>
            <wp:docPr id="5" name="Picture 5"/>
            <wp:cNvGraphicFramePr>
              <a:graphicFrameLocks noChangeAspect="1"/>
            </wp:cNvGraphicFramePr>
            <a:graphic>
              <a:graphicData uri="http://schemas.openxmlformats.org/drawingml/2006/picture">
                <pic:pic>
                  <pic:nvPicPr>
                    <pic:cNvPr id="0" name="entropy_heatmap.png"/>
                    <pic:cNvPicPr/>
                  </pic:nvPicPr>
                  <pic:blipFill>
                    <a:blip r:embed="rId27"/>
                    <a:stretch>
                      <a:fillRect/>
                    </a:stretch>
                  </pic:blipFill>
                  <pic:spPr>
                    <a:xfrm>
                      <a:off x="0" y="0"/>
                      <a:ext cx="5120640" cy="2837616"/>
                    </a:xfrm>
                    <a:prstGeom prst="rect"/>
                  </pic:spPr>
                </pic:pic>
              </a:graphicData>
            </a:graphic>
          </wp:inline>
        </w:drawing>
      </w:r>
    </w:p>
    <w:p>
      <w:pPr>
        <w:spacing w:after="200"/>
        <w:jc w:val="center"/>
      </w:pPr>
      <w:r>
        <w:rPr>
          <w:i/>
          <w:color w:val="64748B"/>
          <w:sz w:val="17"/>
        </w:rPr>
        <w:t>Табл. 11.3. Тепловая карта «слой × метрика» полного спектрального набора — составная диагностика раздела 4.6.</w:t>
      </w:r>
    </w:p>
    <w:p>
      <w:pPr>
        <w:spacing w:before="160" w:after="40"/>
        <w:jc w:val="center"/>
      </w:pPr>
      <w:r>
        <w:drawing>
          <wp:inline xmlns:a="http://schemas.openxmlformats.org/drawingml/2006/main" xmlns:pic="http://schemas.openxmlformats.org/drawingml/2006/picture">
            <wp:extent cx="5120640" cy="3326575"/>
            <wp:docPr id="6" name="Picture 6"/>
            <wp:cNvGraphicFramePr>
              <a:graphicFrameLocks noChangeAspect="1"/>
            </wp:cNvGraphicFramePr>
            <a:graphic>
              <a:graphicData uri="http://schemas.openxmlformats.org/drawingml/2006/picture">
                <pic:pic>
                  <pic:nvPicPr>
                    <pic:cNvPr id="0" name="repo_dashboard.png"/>
                    <pic:cNvPicPr/>
                  </pic:nvPicPr>
                  <pic:blipFill>
                    <a:blip r:embed="rId28"/>
                    <a:stretch>
                      <a:fillRect/>
                    </a:stretch>
                  </pic:blipFill>
                  <pic:spPr>
                    <a:xfrm>
                      <a:off x="0" y="0"/>
                      <a:ext cx="5120640" cy="3326575"/>
                    </a:xfrm>
                    <a:prstGeom prst="rect"/>
                  </pic:spPr>
                </pic:pic>
              </a:graphicData>
            </a:graphic>
          </wp:inline>
        </w:drawing>
      </w:r>
    </w:p>
    <w:p>
      <w:pPr>
        <w:spacing w:after="200"/>
        <w:jc w:val="center"/>
      </w:pPr>
      <w:r>
        <w:rPr>
          <w:i/>
          <w:color w:val="64748B"/>
          <w:sz w:val="17"/>
        </w:rPr>
        <w:t>Табл. 11.4. Верификационный дашборд репозитория: модули, тесты, лаборатории и измеренные метрики на момент издания.</w:t>
      </w:r>
    </w:p>
    <w:p/>
    <w:p>
      <w:pPr>
        <w:keepNext/>
        <w:spacing w:before="320" w:after="140"/>
      </w:pPr>
      <w:r>
        <w:rPr>
          <w:b/>
          <w:color w:val="0A9B72"/>
          <w:sz w:val="32"/>
        </w:rPr>
        <w:t>12. Реестр результатов</w:t>
      </w:r>
    </w:p>
    <w:p>
      <w:pPr>
        <w:spacing w:after="120" w:line="300" w:lineRule="auto"/>
        <w:jc w:val="both"/>
      </w:pPr>
      <w:r>
        <w:rPr>
          <w:i w:val="0"/>
          <w:color w:val="1E293B"/>
          <w:sz w:val="22"/>
        </w:rPr>
        <w:t>Реестр ниже фиксирует измеренные величины, на которые ссылается это издание, с указанием происхождения в репозитории. Числа приведены дословно из артефактов результатов, поэтому читатель может сверять таблицу с будущими запусками и наблюдать старение теории публично.</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Измеренная величина</w:t>
            </w:r>
          </w:p>
        </w:tc>
        <w:tc>
          <w:tcPr>
            <w:tcW w:type="pct" w:w="1300"/>
            <w:shd w:val="clear" w:fill="050510"/>
          </w:tcPr>
          <w:p>
            <w:pPr>
              <w:spacing w:before="40" w:after="40"/>
            </w:pPr>
            <w:r>
              <w:rPr>
                <w:b/>
                <w:color w:val="7DD3FC"/>
                <w:sz w:val="19"/>
              </w:rPr>
              <w:t>Число</w:t>
            </w:r>
          </w:p>
        </w:tc>
        <w:tc>
          <w:tcPr>
            <w:tcW w:type="pct" w:w="2000"/>
            <w:shd w:val="clear" w:fill="050510"/>
          </w:tcPr>
          <w:p>
            <w:pPr>
              <w:spacing w:before="40" w:after="40"/>
            </w:pPr>
            <w:r>
              <w:rPr>
                <w:b/>
                <w:color w:val="00FFA3"/>
                <w:sz w:val="19"/>
              </w:rPr>
              <w:t>Источник в репозитории</w:t>
            </w:r>
          </w:p>
        </w:tc>
      </w:tr>
      <w:tr>
        <w:tc>
          <w:tcPr>
            <w:tcW w:type="pct" w:w="1700"/>
          </w:tcPr>
          <w:p>
            <w:pPr>
              <w:spacing w:before="20" w:after="20"/>
            </w:pPr>
            <w:r>
              <w:rPr>
                <w:b/>
                <w:color w:val="0A9B72"/>
                <w:sz w:val="19"/>
              </w:rPr>
              <w:t>max λ_max (свип по 4 слоям)</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(свип по 4 слоям)</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средняя спектральная щель</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доля совпадений</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запуск shared/scenarios.json 13.08.2026</w:t>
            </w:r>
          </w:p>
        </w:tc>
      </w:tr>
      <w:tr>
        <w:tc>
          <w:tcPr>
            <w:tcW w:type="pct" w:w="1700"/>
          </w:tcPr>
          <w:p>
            <w:pPr>
              <w:spacing w:before="20" w:after="20"/>
            </w:pPr>
            <w:r>
              <w:rPr>
                <w:b/>
                <w:color w:val="0A9B72"/>
                <w:sz w:val="19"/>
              </w:rPr>
              <w:t>SCEN-LIE-01: средний обман</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средняя честность</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средняя галлюцинация</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(контроль): val loss</w:t>
            </w:r>
          </w:p>
        </w:tc>
        <w:tc>
          <w:tcPr>
            <w:tcW w:type="pct" w:w="1300"/>
            <w:shd w:val="clear" w:fill="F4F8F6"/>
          </w:tcPr>
          <w:p>
            <w:pPr>
              <w:spacing w:before="20" w:after="20"/>
            </w:pPr>
            <w:r>
              <w:rPr>
                <w:color w:val="1E293B"/>
                <w:sz w:val="19"/>
              </w:rPr>
              <w:t>6.2277 → 2.0393 (40 эпох)</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(контроль): формат</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Уверенная галлюцинация (held-out)</w:t>
            </w:r>
          </w:p>
        </w:tc>
        <w:tc>
          <w:tcPr>
            <w:tcW w:type="pct" w:w="1300"/>
            <w:shd w:val="clear" w:fill="F4F8F6"/>
          </w:tcPr>
          <w:p>
            <w:pPr>
              <w:spacing w:before="20" w:after="20"/>
            </w:pPr>
            <w:r>
              <w:rPr>
                <w:color w:val="1E293B"/>
                <w:sz w:val="19"/>
              </w:rPr>
              <w:t>1.00 (24/24 оформленных)</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Численная точность (held-out)</w:t>
            </w:r>
          </w:p>
        </w:tc>
        <w:tc>
          <w:tcPr>
            <w:tcW w:type="pct" w:w="1300"/>
          </w:tcPr>
          <w:p>
            <w:pPr>
              <w:spacing w:before="20" w:after="20"/>
            </w:pPr>
            <w:r>
              <w:rPr>
                <w:color w:val="1E293B"/>
                <w:sz w:val="19"/>
              </w:rPr>
              <w:t>0.00 из 37 задач</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Артефакты отчётов</w:t>
            </w:r>
          </w:p>
        </w:tc>
        <w:tc>
          <w:tcPr>
            <w:tcW w:type="pct" w:w="1300"/>
            <w:shd w:val="clear" w:fill="F4F8F6"/>
          </w:tcPr>
          <w:p>
            <w:pPr>
              <w:spacing w:before="20" w:after="20"/>
            </w:pPr>
            <w:r>
              <w:rPr>
                <w:color w:val="1E293B"/>
                <w:sz w:val="19"/>
              </w:rPr>
              <w:t>181 файл</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Маршруты чтения. Сжатое препринтное изложение — монография M02; механизм утилитарной ловушки — M05; десять независимых путей коллапса — M06. Сводное издание (M05 и papers/LLM_Analysis_Merged.pdf) связывает все нити в один рассказ и делит с этим дополнением общий реестр результатов.</w:t>
      </w:r>
    </w:p>
    <w:p/>
    <w:p>
      <w:pPr>
        <w:keepNext/>
        <w:spacing w:before="240" w:after="140"/>
      </w:pPr>
      <w:r>
        <w:rPr>
          <w:b/>
          <w:color w:val="0E7FA8"/>
          <w:sz w:val="27"/>
        </w:rPr>
        <w:t>12.1 Перекрёстная ссылка обозначений</w:t>
      </w:r>
    </w:p>
    <w:p>
      <w:pPr>
        <w:spacing w:after="120" w:line="300" w:lineRule="auto"/>
        <w:jc w:val="both"/>
      </w:pPr>
      <w:r>
        <w:rPr>
          <w:i w:val="0"/>
          <w:color w:val="1E293B"/>
          <w:sz w:val="22"/>
        </w:rPr>
        <w:t>Поскольку монография и репозиторий писались в разное время, обозначения местами разошлись; перекрёстная ссылка ниже пришпиливает каждый символ основного текста к его исполняемому определению, так что формулу всегда можно превратить в вызов функции без догадок. Таблица полезна и рецензентам: проверка вывода сводится к импорту названной функции и проверке заявленного свойства на управляемых входах.</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4305"/>
        <w:gridCol w:w="3556"/>
      </w:tblGrid>
      <w:tr>
        <w:trPr>
          <w:tblHeader/>
          <w:cantSplit/>
        </w:trPr>
        <w:tc>
          <w:tcPr>
            <w:tcW w:type="pct" w:w="800"/>
            <w:shd w:val="clear" w:fill="050510"/>
          </w:tcPr>
          <w:p>
            <w:pPr>
              <w:spacing w:before="40" w:after="40"/>
            </w:pPr>
            <w:r>
              <w:rPr>
                <w:b/>
                <w:color w:val="00FFA3"/>
                <w:sz w:val="19"/>
              </w:rPr>
              <w:t>Символ / термин</w:t>
            </w:r>
          </w:p>
        </w:tc>
        <w:tc>
          <w:tcPr>
            <w:tcW w:type="pct" w:w="2300"/>
            <w:shd w:val="clear" w:fill="050510"/>
          </w:tcPr>
          <w:p>
            <w:pPr>
              <w:spacing w:before="40" w:after="40"/>
            </w:pPr>
            <w:r>
              <w:rPr>
                <w:b/>
                <w:color w:val="7DD3FC"/>
                <w:sz w:val="19"/>
              </w:rPr>
              <w:t>Смысл</w:t>
            </w:r>
          </w:p>
        </w:tc>
        <w:tc>
          <w:tcPr>
            <w:tcW w:type="pct" w:w="1900"/>
            <w:shd w:val="clear" w:fill="050510"/>
          </w:tcPr>
          <w:p>
            <w:pPr>
              <w:spacing w:before="40" w:after="40"/>
            </w:pPr>
            <w:r>
              <w:rPr>
                <w:b/>
                <w:color w:val="00FFA3"/>
                <w:sz w:val="19"/>
              </w:rPr>
              <w:t>Где живёт в коде</w:t>
            </w:r>
          </w:p>
        </w:tc>
      </w:tr>
      <w:tr>
        <w:tc>
          <w:tcPr>
            <w:tcW w:type="pct" w:w="800"/>
          </w:tcPr>
          <w:p>
            <w:pPr>
              <w:spacing w:before="20" w:after="20"/>
            </w:pPr>
            <w:r>
              <w:rPr>
                <w:b/>
                <w:color w:val="0A9B72"/>
                <w:sz w:val="19"/>
              </w:rPr>
              <w:t>λ±</w:t>
            </w:r>
          </w:p>
        </w:tc>
        <w:tc>
          <w:tcPr>
            <w:tcW w:type="pct" w:w="2300"/>
          </w:tcPr>
          <w:p>
            <w:pPr>
              <w:spacing w:before="20" w:after="20"/>
            </w:pPr>
            <w:r>
              <w:rPr>
                <w:color w:val="1E293B"/>
                <w:sz w:val="19"/>
              </w:rPr>
              <w:t>края bulk-области Марченко–Пастура λ± = σ²(1 ± 1/√q)</w:t>
            </w:r>
          </w:p>
        </w:tc>
        <w:tc>
          <w:tcPr>
            <w:tcW w:type="pct" w:w="1900"/>
          </w:tcPr>
          <w:p>
            <w:pPr>
              <w:spacing w:before="20" w:after="20"/>
            </w:pPr>
            <w:r>
              <w:rPr>
                <w:color w:val="1E293B"/>
                <w:sz w:val="19"/>
              </w:rPr>
              <w:t>marchenko_pastur.mp_bounds</w:t>
            </w:r>
          </w:p>
        </w:tc>
      </w:tr>
      <w:tr>
        <w:tc>
          <w:tcPr>
            <w:tcW w:type="pct" w:w="800"/>
            <w:shd w:val="clear" w:fill="F4F8F6"/>
          </w:tcPr>
          <w:p>
            <w:pPr>
              <w:spacing w:before="20" w:after="20"/>
            </w:pPr>
            <w:r>
              <w:rPr>
                <w:b/>
                <w:color w:val="0E7FA8"/>
                <w:sz w:val="19"/>
              </w:rPr>
              <w:t>q = T/N</w:t>
            </w:r>
          </w:p>
        </w:tc>
        <w:tc>
          <w:tcPr>
            <w:tcW w:type="pct" w:w="2300"/>
            <w:shd w:val="clear" w:fill="F4F8F6"/>
          </w:tcPr>
          <w:p>
            <w:pPr>
              <w:spacing w:before="20" w:after="20"/>
            </w:pPr>
            <w:r>
              <w:rPr>
                <w:color w:val="1E293B"/>
                <w:sz w:val="19"/>
              </w:rPr>
              <w:t>аспектное отношение матрицы активаций X ∈ R^{T×N}</w:t>
            </w:r>
          </w:p>
        </w:tc>
        <w:tc>
          <w:tcPr>
            <w:tcW w:type="pct" w:w="1900"/>
            <w:shd w:val="clear" w:fill="F4F8F6"/>
          </w:tcPr>
          <w:p>
            <w:pPr>
              <w:spacing w:before="20" w:after="20"/>
            </w:pPr>
            <w:r>
              <w:rPr>
                <w:color w:val="1E293B"/>
                <w:sz w:val="19"/>
              </w:rPr>
              <w:t>там же; сэмплер mp_sample(q, …)</w:t>
            </w:r>
          </w:p>
        </w:tc>
      </w:tr>
      <w:tr>
        <w:tc>
          <w:tcPr>
            <w:tcW w:type="pct" w:w="800"/>
          </w:tcPr>
          <w:p>
            <w:pPr>
              <w:spacing w:before="20" w:after="20"/>
            </w:pPr>
            <w:r>
              <w:rPr>
                <w:b/>
                <w:color w:val="0A9B72"/>
                <w:sz w:val="19"/>
              </w:rPr>
              <w:t>ρ_MP(λ)</w:t>
            </w:r>
          </w:p>
        </w:tc>
        <w:tc>
          <w:tcPr>
            <w:tcW w:type="pct" w:w="2300"/>
          </w:tcPr>
          <w:p>
            <w:pPr>
              <w:spacing w:before="20" w:after="20"/>
            </w:pPr>
            <w:r>
              <w:rPr>
                <w:color w:val="1E293B"/>
                <w:sz w:val="19"/>
              </w:rPr>
              <w:t>плотность MP, которой следует bulk в случайном режиме</w:t>
            </w:r>
          </w:p>
        </w:tc>
        <w:tc>
          <w:tcPr>
            <w:tcW w:type="pct" w:w="1900"/>
          </w:tcPr>
          <w:p>
            <w:pPr>
              <w:spacing w:before="20" w:after="20"/>
            </w:pPr>
            <w:r>
              <w:rPr>
                <w:color w:val="1E293B"/>
                <w:sz w:val="19"/>
              </w:rPr>
              <w:t>mp_density, mp_cdf</w:t>
            </w:r>
          </w:p>
        </w:tc>
      </w:tr>
      <w:tr>
        <w:tc>
          <w:tcPr>
            <w:tcW w:type="pct" w:w="800"/>
            <w:shd w:val="clear" w:fill="F4F8F6"/>
          </w:tcPr>
          <w:p>
            <w:pPr>
              <w:spacing w:before="20" w:after="20"/>
            </w:pPr>
            <w:r>
              <w:rPr>
                <w:b/>
                <w:color w:val="0E7FA8"/>
                <w:sz w:val="19"/>
              </w:rPr>
              <w:t>θ_c</w:t>
            </w:r>
          </w:p>
        </w:tc>
        <w:tc>
          <w:tcPr>
            <w:tcW w:type="pct" w:w="2300"/>
            <w:shd w:val="clear" w:fill="F4F8F6"/>
          </w:tcPr>
          <w:p>
            <w:pPr>
              <w:spacing w:before="20" w:after="20"/>
            </w:pPr>
            <w:r>
              <w:rPr>
                <w:color w:val="1E293B"/>
                <w:sz w:val="19"/>
              </w:rPr>
              <w:t>критическая сила всплеска BBP; сверхкритический режим θ &gt; θ_c</w:t>
            </w:r>
          </w:p>
        </w:tc>
        <w:tc>
          <w:tcPr>
            <w:tcW w:type="pct" w:w="1900"/>
            <w:shd w:val="clear" w:fill="F4F8F6"/>
          </w:tcPr>
          <w:p>
            <w:pPr>
              <w:spacing w:before="20" w:after="20"/>
            </w:pPr>
            <w:r>
              <w:rPr>
                <w:color w:val="1E293B"/>
                <w:sz w:val="19"/>
              </w:rPr>
              <w:t>bbp_transition.bbp_critical_theta</w:t>
            </w:r>
          </w:p>
        </w:tc>
      </w:tr>
      <w:tr>
        <w:tc>
          <w:tcPr>
            <w:tcW w:type="pct" w:w="800"/>
          </w:tcPr>
          <w:p>
            <w:pPr>
              <w:spacing w:before="20" w:after="20"/>
            </w:pPr>
            <w:r>
              <w:rPr>
                <w:b/>
                <w:color w:val="0A9B72"/>
                <w:sz w:val="19"/>
              </w:rPr>
              <w:t>λ_max(θ)</w:t>
            </w:r>
          </w:p>
        </w:tc>
        <w:tc>
          <w:tcPr>
            <w:tcW w:type="pct" w:w="2300"/>
          </w:tcPr>
          <w:p>
            <w:pPr>
              <w:spacing w:before="20" w:after="20"/>
            </w:pPr>
            <w:r>
              <w:rPr>
                <w:color w:val="1E293B"/>
                <w:sz w:val="19"/>
              </w:rPr>
              <w:t>положение BBP-выброса (Байк–Бен Арун–Пеше)</w:t>
            </w:r>
          </w:p>
        </w:tc>
        <w:tc>
          <w:tcPr>
            <w:tcW w:type="pct" w:w="1900"/>
          </w:tcPr>
          <w:p>
            <w:pPr>
              <w:spacing w:before="20" w:after="20"/>
            </w:pPr>
            <w:r>
              <w:rPr>
                <w:color w:val="1E293B"/>
                <w:sz w:val="19"/>
              </w:rPr>
              <w:t>bbp_transition.bbp_lambda_max</w:t>
            </w:r>
          </w:p>
        </w:tc>
      </w:tr>
      <w:tr>
        <w:tc>
          <w:tcPr>
            <w:tcW w:type="pct" w:w="800"/>
            <w:shd w:val="clear" w:fill="F4F8F6"/>
          </w:tcPr>
          <w:p>
            <w:pPr>
              <w:spacing w:before="20" w:after="20"/>
            </w:pPr>
            <w:r>
              <w:rPr>
                <w:b/>
                <w:color w:val="0E7FA8"/>
                <w:sz w:val="19"/>
              </w:rPr>
              <w:t>F₂(s)</w:t>
            </w:r>
          </w:p>
        </w:tc>
        <w:tc>
          <w:tcPr>
            <w:tcW w:type="pct" w:w="2300"/>
            <w:shd w:val="clear" w:fill="F4F8F6"/>
          </w:tcPr>
          <w:p>
            <w:pPr>
              <w:spacing w:before="20" w:after="20"/>
            </w:pPr>
            <w:r>
              <w:rPr>
                <w:color w:val="1E293B"/>
                <w:sz w:val="19"/>
              </w:rPr>
              <w:t>краевое распределение Трейси–Уидома GUE и его моменты</w:t>
            </w:r>
          </w:p>
        </w:tc>
        <w:tc>
          <w:tcPr>
            <w:tcW w:type="pct" w:w="1900"/>
            <w:shd w:val="clear" w:fill="F4F8F6"/>
          </w:tcPr>
          <w:p>
            <w:pPr>
              <w:spacing w:before="20" w:after="20"/>
            </w:pPr>
            <w:r>
              <w:rPr>
                <w:color w:val="1E293B"/>
                <w:sz w:val="19"/>
              </w:rPr>
              <w:t>tracy_widom.tracy_widom_cdf/pdf</w:t>
            </w:r>
          </w:p>
        </w:tc>
      </w:tr>
      <w:tr>
        <w:tc>
          <w:tcPr>
            <w:tcW w:type="pct" w:w="800"/>
          </w:tcPr>
          <w:p>
            <w:pPr>
              <w:spacing w:before="20" w:after="20"/>
            </w:pPr>
            <w:r>
              <w:rPr>
                <w:b/>
                <w:color w:val="0A9B72"/>
                <w:sz w:val="19"/>
              </w:rPr>
              <w:t>z_TW</w:t>
            </w:r>
          </w:p>
        </w:tc>
        <w:tc>
          <w:tcPr>
            <w:tcW w:type="pct" w:w="2300"/>
          </w:tcPr>
          <w:p>
            <w:pPr>
              <w:spacing w:before="20" w:after="20"/>
            </w:pPr>
            <w:r>
              <w:rPr>
                <w:color w:val="1E293B"/>
                <w:sz w:val="19"/>
              </w:rPr>
              <w:t>TW z-оценка измеренного наибольшего собственного значения</w:t>
            </w:r>
          </w:p>
        </w:tc>
        <w:tc>
          <w:tcPr>
            <w:tcW w:type="pct" w:w="1900"/>
          </w:tcPr>
          <w:p>
            <w:pPr>
              <w:spacing w:before="20" w:after="20"/>
            </w:pPr>
            <w:r>
              <w:rPr>
                <w:color w:val="1E293B"/>
                <w:sz w:val="19"/>
              </w:rPr>
              <w:t>набор метрик лаборатории</w:t>
            </w:r>
          </w:p>
        </w:tc>
      </w:tr>
      <w:tr>
        <w:tc>
          <w:tcPr>
            <w:tcW w:type="pct" w:w="800"/>
            <w:shd w:val="clear" w:fill="F4F8F6"/>
          </w:tcPr>
          <w:p>
            <w:pPr>
              <w:spacing w:before="20" w:after="20"/>
            </w:pPr>
            <w:r>
              <w:rPr>
                <w:b/>
                <w:color w:val="0E7FA8"/>
                <w:sz w:val="19"/>
              </w:rPr>
              <w:t>K(τ)</w:t>
            </w:r>
          </w:p>
        </w:tc>
        <w:tc>
          <w:tcPr>
            <w:tcW w:type="pct" w:w="2300"/>
            <w:shd w:val="clear" w:fill="F4F8F6"/>
          </w:tcPr>
          <w:p>
            <w:pPr>
              <w:spacing w:before="20" w:after="20"/>
            </w:pPr>
            <w:r>
              <w:rPr>
                <w:color w:val="1E293B"/>
                <w:sz w:val="19"/>
              </w:rPr>
              <w:t>спектральный форм-фактор; диагностика корреляций уровней</w:t>
            </w:r>
          </w:p>
        </w:tc>
        <w:tc>
          <w:tcPr>
            <w:tcW w:type="pct" w:w="1900"/>
            <w:shd w:val="clear" w:fill="F4F8F6"/>
          </w:tcPr>
          <w:p>
            <w:pPr>
              <w:spacing w:before="20" w:after="20"/>
            </w:pPr>
            <w:r>
              <w:rPr>
                <w:color w:val="1E293B"/>
                <w:sz w:val="19"/>
              </w:rPr>
              <w:t>circular_ensembles.form_factor</w:t>
            </w:r>
          </w:p>
        </w:tc>
      </w:tr>
      <w:tr>
        <w:tc>
          <w:tcPr>
            <w:tcW w:type="pct" w:w="800"/>
          </w:tcPr>
          <w:p>
            <w:pPr>
              <w:spacing w:before="20" w:after="20"/>
            </w:pPr>
            <w:r>
              <w:rPr>
                <w:b/>
                <w:color w:val="0A9B72"/>
                <w:sz w:val="19"/>
              </w:rPr>
              <w:t>PR / IPR</w:t>
            </w:r>
          </w:p>
        </w:tc>
        <w:tc>
          <w:tcPr>
            <w:tcW w:type="pct" w:w="2300"/>
          </w:tcPr>
          <w:p>
            <w:pPr>
              <w:spacing w:before="20" w:after="20"/>
            </w:pPr>
            <w:r>
              <w:rPr>
                <w:color w:val="1E293B"/>
                <w:sz w:val="19"/>
              </w:rPr>
              <w:t>(обратный) коэффициент участия — локальность собственных векторов</w:t>
            </w:r>
          </w:p>
        </w:tc>
        <w:tc>
          <w:tcPr>
            <w:tcW w:type="pct" w:w="1900"/>
          </w:tcPr>
          <w:p>
            <w:pPr>
              <w:spacing w:before="20" w:after="20"/>
            </w:pPr>
            <w:r>
              <w:rPr>
                <w:color w:val="1E293B"/>
                <w:sz w:val="19"/>
              </w:rPr>
              <w:t>free_probability.py; векторы dyson_brownian</w:t>
            </w:r>
          </w:p>
        </w:tc>
      </w:tr>
      <w:tr>
        <w:tc>
          <w:tcPr>
            <w:tcW w:type="pct" w:w="800"/>
            <w:shd w:val="clear" w:fill="F4F8F6"/>
          </w:tcPr>
          <w:p>
            <w:pPr>
              <w:spacing w:before="20" w:after="20"/>
            </w:pPr>
            <w:r>
              <w:rPr>
                <w:b/>
                <w:color w:val="0E7FA8"/>
                <w:sz w:val="19"/>
              </w:rPr>
              <w:t>S_spec</w:t>
            </w:r>
          </w:p>
        </w:tc>
        <w:tc>
          <w:tcPr>
            <w:tcW w:type="pct" w:w="2300"/>
            <w:shd w:val="clear" w:fill="F4F8F6"/>
          </w:tcPr>
          <w:p>
            <w:pPr>
              <w:spacing w:before="20" w:after="20"/>
            </w:pPr>
            <w:r>
              <w:rPr>
                <w:color w:val="1E293B"/>
                <w:sz w:val="19"/>
              </w:rPr>
              <w:t>нормированная спектральная энтропия спектра</w:t>
            </w:r>
          </w:p>
        </w:tc>
        <w:tc>
          <w:tcPr>
            <w:tcW w:type="pct" w:w="1900"/>
            <w:shd w:val="clear" w:fill="F4F8F6"/>
          </w:tcPr>
          <w:p>
            <w:pPr>
              <w:spacing w:before="20" w:after="20"/>
            </w:pPr>
            <w:r>
              <w:rPr>
                <w:color w:val="1E293B"/>
                <w:sz w:val="19"/>
              </w:rPr>
              <w:t>thermodynamics.spectral_entropy</w:t>
            </w:r>
          </w:p>
        </w:tc>
      </w:tr>
      <w:tr>
        <w:tc>
          <w:tcPr>
            <w:tcW w:type="pct" w:w="800"/>
          </w:tcPr>
          <w:p>
            <w:pPr>
              <w:spacing w:before="20" w:after="20"/>
            </w:pPr>
            <w:r>
              <w:rPr>
                <w:b/>
                <w:color w:val="0A9B72"/>
                <w:sz w:val="19"/>
              </w:rPr>
              <w:t>F = U − TS_spec</w:t>
            </w:r>
          </w:p>
        </w:tc>
        <w:tc>
          <w:tcPr>
            <w:tcW w:type="pct" w:w="2300"/>
          </w:tcPr>
          <w:p>
            <w:pPr>
              <w:spacing w:before="20" w:after="20"/>
            </w:pPr>
            <w:r>
              <w:rPr>
                <w:color w:val="1E293B"/>
                <w:sz w:val="19"/>
              </w:rPr>
              <w:t>аналогия свободной энергии, связывающая энергию и энтропию</w:t>
            </w:r>
          </w:p>
        </w:tc>
        <w:tc>
          <w:tcPr>
            <w:tcW w:type="pct" w:w="1900"/>
          </w:tcPr>
          <w:p>
            <w:pPr>
              <w:spacing w:before="20" w:after="20"/>
            </w:pPr>
            <w:r>
              <w:rPr>
                <w:color w:val="1E293B"/>
                <w:sz w:val="19"/>
              </w:rPr>
              <w:t>thermodynamics.free_energy</w:t>
            </w:r>
          </w:p>
        </w:tc>
      </w:tr>
      <w:tr>
        <w:tc>
          <w:tcPr>
            <w:tcW w:type="pct" w:w="800"/>
            <w:shd w:val="clear" w:fill="F4F8F6"/>
          </w:tcPr>
          <w:p>
            <w:pPr>
              <w:spacing w:before="20" w:after="20"/>
            </w:pPr>
            <w:r>
              <w:rPr>
                <w:b/>
                <w:color w:val="0E7FA8"/>
                <w:sz w:val="19"/>
              </w:rPr>
              <w:t>N_crit</w:t>
            </w:r>
          </w:p>
        </w:tc>
        <w:tc>
          <w:tcPr>
            <w:tcW w:type="pct" w:w="2300"/>
            <w:shd w:val="clear" w:fill="F4F8F6"/>
          </w:tcPr>
          <w:p>
            <w:pPr>
              <w:spacing w:before="20" w:after="20"/>
            </w:pPr>
            <w:r>
              <w:rPr>
                <w:color w:val="1E293B"/>
                <w:sz w:val="19"/>
              </w:rPr>
              <w:t>число авторегрессионных токенов, при котором коллапс неизбежен</w:t>
            </w:r>
          </w:p>
        </w:tc>
        <w:tc>
          <w:tcPr>
            <w:tcW w:type="pct" w:w="1900"/>
            <w:shd w:val="clear" w:fill="F4F8F6"/>
          </w:tcPr>
          <w:p>
            <w:pPr>
              <w:spacing w:before="20" w:after="20"/>
            </w:pPr>
            <w:r>
              <w:rPr>
                <w:color w:val="1E293B"/>
                <w:sz w:val="19"/>
              </w:rPr>
              <w:t>caputo_fractional.caputo_n_crit</w:t>
            </w:r>
          </w:p>
        </w:tc>
      </w:tr>
      <w:tr>
        <w:tc>
          <w:tcPr>
            <w:tcW w:type="pct" w:w="800"/>
          </w:tcPr>
          <w:p>
            <w:pPr>
              <w:spacing w:before="20" w:after="20"/>
            </w:pPr>
            <w:r>
              <w:rPr>
                <w:b/>
                <w:color w:val="0A9B72"/>
                <w:sz w:val="19"/>
              </w:rPr>
              <w:t>β</w:t>
            </w:r>
          </w:p>
        </w:tc>
        <w:tc>
          <w:tcPr>
            <w:tcW w:type="pct" w:w="2300"/>
          </w:tcPr>
          <w:p>
            <w:pPr>
              <w:spacing w:before="20" w:after="20"/>
            </w:pPr>
            <w:r>
              <w:rPr>
                <w:color w:val="1E293B"/>
                <w:sz w:val="19"/>
              </w:rPr>
              <w:t>показатель памяти Капуто дробного ядра</w:t>
            </w:r>
          </w:p>
        </w:tc>
        <w:tc>
          <w:tcPr>
            <w:tcW w:type="pct" w:w="1900"/>
          </w:tcPr>
          <w:p>
            <w:pPr>
              <w:spacing w:before="20" w:after="20"/>
            </w:pPr>
            <w:r>
              <w:rPr>
                <w:color w:val="1E293B"/>
                <w:sz w:val="19"/>
              </w:rPr>
              <w:t>constants.BETA_CAPUTO = 0.5</w:t>
            </w:r>
          </w:p>
        </w:tc>
      </w:tr>
      <w:tr>
        <w:tc>
          <w:tcPr>
            <w:tcW w:type="pct" w:w="800"/>
            <w:shd w:val="clear" w:fill="F4F8F6"/>
          </w:tcPr>
          <w:p>
            <w:pPr>
              <w:spacing w:before="20" w:after="20"/>
            </w:pPr>
            <w:r>
              <w:rPr>
                <w:b/>
                <w:color w:val="0E7FA8"/>
                <w:sz w:val="19"/>
              </w:rPr>
              <w:t>γ₁</w:t>
            </w:r>
          </w:p>
        </w:tc>
        <w:tc>
          <w:tcPr>
            <w:tcW w:type="pct" w:w="2300"/>
            <w:shd w:val="clear" w:fill="F4F8F6"/>
          </w:tcPr>
          <w:p>
            <w:pPr>
              <w:spacing w:before="20" w:after="20"/>
            </w:pPr>
            <w:r>
              <w:rPr>
                <w:color w:val="1E293B"/>
                <w:sz w:val="19"/>
              </w:rPr>
              <w:t>первая мнимая часть нулей дзеты Римана</w:t>
            </w:r>
          </w:p>
        </w:tc>
        <w:tc>
          <w:tcPr>
            <w:tcW w:type="pct" w:w="1900"/>
            <w:shd w:val="clear" w:fill="F4F8F6"/>
          </w:tcPr>
          <w:p>
            <w:pPr>
              <w:spacing w:before="20" w:after="20"/>
            </w:pPr>
            <w:r>
              <w:rPr>
                <w:color w:val="1E293B"/>
                <w:sz w:val="19"/>
              </w:rPr>
              <w:t>constants.GAMMA_1 = 14.134725</w:t>
            </w:r>
          </w:p>
        </w:tc>
      </w:tr>
      <w:tr>
        <w:tc>
          <w:tcPr>
            <w:tcW w:type="pct" w:w="800"/>
          </w:tcPr>
          <w:p>
            <w:pPr>
              <w:spacing w:before="20" w:after="20"/>
            </w:pPr>
            <w:r>
              <w:rPr>
                <w:b/>
                <w:color w:val="0A9B72"/>
                <w:sz w:val="19"/>
              </w:rPr>
              <w:t>w (NHSE)</w:t>
            </w:r>
          </w:p>
        </w:tc>
        <w:tc>
          <w:tcPr>
            <w:tcW w:type="pct" w:w="2300"/>
          </w:tcPr>
          <w:p>
            <w:pPr>
              <w:spacing w:before="20" w:after="20"/>
            </w:pPr>
            <w:r>
              <w:rPr>
                <w:color w:val="1E293B"/>
                <w:sz w:val="19"/>
              </w:rPr>
              <w:t>число Виттинга непэрмитовского спектра</w:t>
            </w:r>
          </w:p>
        </w:tc>
        <w:tc>
          <w:tcPr>
            <w:tcW w:type="pct" w:w="1900"/>
          </w:tcPr>
          <w:p>
            <w:pPr>
              <w:spacing w:before="20" w:after="20"/>
            </w:pPr>
            <w:r>
              <w:rPr>
                <w:color w:val="1E293B"/>
                <w:sz w:val="19"/>
              </w:rPr>
              <w:t>nhse.nhse_winding_number</w:t>
            </w:r>
          </w:p>
        </w:tc>
      </w:tr>
      <w:tr>
        <w:tc>
          <w:tcPr>
            <w:tcW w:type="pct" w:w="800"/>
            <w:shd w:val="clear" w:fill="F4F8F6"/>
          </w:tcPr>
          <w:p>
            <w:pPr>
              <w:spacing w:before="20" w:after="20"/>
            </w:pPr>
            <w:r>
              <w:rPr>
                <w:b/>
                <w:color w:val="0E7FA8"/>
                <w:sz w:val="19"/>
              </w:rPr>
              <w:t>код возврата</w:t>
            </w:r>
          </w:p>
        </w:tc>
        <w:tc>
          <w:tcPr>
            <w:tcW w:type="pct" w:w="2300"/>
            <w:shd w:val="clear" w:fill="F4F8F6"/>
          </w:tcPr>
          <w:p>
            <w:pPr>
              <w:spacing w:before="20" w:after="20"/>
            </w:pPr>
            <w:r>
              <w:rPr>
                <w:color w:val="1E293B"/>
                <w:sz w:val="19"/>
              </w:rPr>
              <w:t>соглашение стендов: 0 = принято, 1 = отклонено</w:t>
            </w:r>
          </w:p>
        </w:tc>
        <w:tc>
          <w:tcPr>
            <w:tcW w:type="pct" w:w="1900"/>
            <w:shd w:val="clear" w:fill="F4F8F6"/>
          </w:tcPr>
          <w:p>
            <w:pPr>
              <w:spacing w:before="20" w:after="20"/>
            </w:pPr>
            <w:r>
              <w:rPr>
                <w:color w:val="1E293B"/>
                <w:sz w:val="19"/>
              </w:rPr>
              <w:t>все стенды и лаборатории</w:t>
            </w:r>
          </w:p>
        </w:tc>
      </w:tr>
    </w:tbl>
    <w:p>
      <w:pPr>
        <w:spacing w:after="40"/>
      </w:pPr>
    </w:p>
    <w:p/>
    <w:p>
      <w:pPr>
        <w:keepNext/>
        <w:spacing w:before="240" w:after="140"/>
      </w:pPr>
      <w:r>
        <w:rPr>
          <w:b/>
          <w:color w:val="0E7FA8"/>
          <w:sz w:val="27"/>
        </w:rPr>
        <w:t>12.2 Чек-лист воспроизведения</w:t>
      </w:r>
    </w:p>
    <w:p>
      <w:pPr>
        <w:spacing w:after="120" w:line="300" w:lineRule="auto"/>
        <w:jc w:val="both"/>
      </w:pPr>
      <w:r>
        <w:rPr>
          <w:i w:val="0"/>
          <w:color w:val="1E293B"/>
          <w:sz w:val="22"/>
        </w:rPr>
        <w:t>Чек-лист ниже — минимальный путь от свежего клона до верифицированного воспроизведения утверждений монографии. Он сознательно обходится без Colab и облачных зависимостей: ядро набора работает офлайн за секунды, а референсная лаборатория регенерирует артефакты, цитируемые этим изданием. Если шаг падает, соглашение о кодах возврата (0 = принято, 1 = отклонено) локализует виновный модуль.</w:t>
      </w:r>
    </w:p>
    <w:p>
      <w:pPr>
        <w:spacing w:before="80" w:after="0"/>
        <w:ind w:left="280"/>
        <w:shd w:val="clear" w:fill="0E1726"/>
      </w:pPr>
      <w:r>
        <w:rPr>
          <w:rFonts w:ascii="Consolas" w:hAnsi="Consolas"/>
          <w:color w:val="7DD3FC"/>
          <w:sz w:val="18"/>
        </w:rPr>
        <w:t xml:space="preserve">  # 1. клонирование и установка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проверка механики, на которой держится монография</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регенерация эмпирических артефактов</w:t>
      </w:r>
    </w:p>
    <w:p>
      <w:pPr>
        <w:spacing w:before="0" w:after="80"/>
        <w:ind w:left="280"/>
        <w:shd w:val="clear" w:fill="0E1726"/>
      </w:pPr>
      <w:r>
        <w:rPr>
          <w:rFonts w:ascii="Consolas" w:hAnsi="Consolas"/>
          <w:color w:val="D1FAE5"/>
          <w:sz w:val="18"/>
        </w:rPr>
        <w:t xml:space="preserve">  cd laboratory/python/lab_en &amp;&amp; python run_full_lab.py</w:t>
      </w:r>
    </w:p>
    <w:p/>
    <w:p>
      <w:pPr>
        <w:keepNext/>
        <w:spacing w:before="320" w:after="140"/>
      </w:pPr>
      <w:r>
        <w:rPr>
          <w:b/>
          <w:color w:val="0A9B72"/>
          <w:sz w:val="32"/>
        </w:rPr>
        <w:t>13. Карта репозитория</w:t>
      </w:r>
    </w:p>
    <w:p>
      <w:pPr>
        <w:spacing w:after="120" w:line="300" w:lineRule="auto"/>
        <w:jc w:val="both"/>
      </w:pPr>
      <w:r>
        <w:rPr>
          <w:i w:val="0"/>
          <w:color w:val="1E293B"/>
          <w:sz w:val="22"/>
        </w:rPr>
        <w:t>Монографии опережали значительную часть репозитория, поэтому завершающая карта собирает в одной таблице те части проекта, о которых читателю теории стоит знать. Принцип компоновки — разделение слоёв: чистая математика в src/rmt_llm/, эмпирические обвязки в лабораториях, самообучаемая модель-объект в research/, учебные материалы в notebooks/ и docs/. Ничто в таблице не декоративно — каждый путь либо производит числа, цитируемые в реестрах этого издания, либо воспроизводит рисунки основного текста.</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Путь в репозитории</w:t>
            </w:r>
          </w:p>
        </w:tc>
        <w:tc>
          <w:tcPr>
            <w:tcW w:type="pct" w:w="3700"/>
            <w:shd w:val="clear" w:fill="050510"/>
          </w:tcPr>
          <w:p>
            <w:pPr>
              <w:spacing w:before="40" w:after="40"/>
            </w:pPr>
            <w:r>
              <w:rPr>
                <w:b/>
                <w:color w:val="7DD3FC"/>
                <w:sz w:val="19"/>
              </w:rPr>
              <w:t>Что там живёт</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ядро библиотеки — 13 модулей спектральной механики (MP, BBP, Трейси–Уидом, NHSE, Капуто, EP, Китинг–Снейт, термодинамика, круговые ансамбли, БМ Дайсона, свободная вероятность), 101 тест</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полиглот-лаборатории на C++, Go, Java, Julia, Python, R и Rust — каждая в английской (lab_en) и русской (lab_ru) редакции</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единый источник 13 поведенческих экспериментов, потребляемый всеми портами одинаково</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дашборд Vite + React для запусков лаборатории, метрик и 3D-таблиц</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трек самообучаемой модели: корпус формул, тренер TinyGPT v3, масштабная лестница с контрольными плечами</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пять обучающих ноутбуков — quickstart, обучение TinyGPT, генерация и сэмплирование, мультиязычные лаборатории, модернизации v3</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артефакты запусков (TXT · MD · HTML · TeX · JSON); только в laboratory/results/reports/ их 181</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брендинг «Чёрная Аврора» и атлас диаграмм 600 dpi (11 таблиц), воспроизведённый в этом издании</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эта коллекция — M01–M06, каждая в английской и русской Word-редакциях с аврора-обложками</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сводное PDF-издание монографии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исходники сайта MkDocs Material, туториалы и дорожная карта 2026</w:t>
            </w:r>
          </w:p>
        </w:tc>
      </w:tr>
    </w:tbl>
    <w:p>
      <w:pPr>
        <w:spacing w:after="40"/>
      </w:pPr>
    </w:p>
    <w:p>
      <w:pPr>
        <w:spacing w:after="120" w:line="300" w:lineRule="auto"/>
        <w:jc w:val="both"/>
      </w:pPr>
      <w:r>
        <w:rPr>
          <w:i w:val="0"/>
          <w:color w:val="1E293B"/>
          <w:sz w:val="22"/>
        </w:rPr>
        <w:t>Ноутбучный трек — самый мягкий вход и одновременно скриптованная версия экспериментов этой монографии; пять ноутбуков проходятся сверху вниз без изменений и заканчиваются тем же v3-конвейером, которым пользуются лаборатории. Для тех, кто предпочитает браузер, дашборд webapp показывает те же артефакты интерактивно.</w:t>
      </w:r>
    </w:p>
    <w:p>
      <w:pPr>
        <w:spacing w:after="60" w:line="288" w:lineRule="auto"/>
        <w:ind w:left="320"/>
      </w:pPr>
      <w:r>
        <w:rPr>
          <w:b/>
          <w:color w:val="0A9B72"/>
          <w:sz w:val="21"/>
        </w:rPr>
        <w:t xml:space="preserve">— </w:t>
      </w:r>
      <w:r>
        <w:rPr>
          <w:color w:val="1E293B"/>
          <w:sz w:val="21"/>
        </w:rPr>
        <w:t>01_quickstart.ipynb — от pip install до первого графика MP</w:t>
      </w:r>
    </w:p>
    <w:p>
      <w:pPr>
        <w:spacing w:after="60" w:line="288" w:lineRule="auto"/>
        <w:ind w:left="320"/>
      </w:pPr>
      <w:r>
        <w:rPr>
          <w:b/>
          <w:color w:val="0A9B72"/>
          <w:sz w:val="21"/>
        </w:rPr>
        <w:t xml:space="preserve">— </w:t>
      </w:r>
      <w:r>
        <w:rPr>
          <w:color w:val="1E293B"/>
          <w:sz w:val="21"/>
        </w:rPr>
        <w:t>02_training_tinygpt.ipynb — обучение самодостаточной модели-объекта</w:t>
      </w:r>
    </w:p>
    <w:p>
      <w:pPr>
        <w:spacing w:after="60" w:line="288" w:lineRule="auto"/>
        <w:ind w:left="320"/>
      </w:pPr>
      <w:r>
        <w:rPr>
          <w:b/>
          <w:color w:val="0A9B72"/>
          <w:sz w:val="21"/>
        </w:rPr>
        <w:t xml:space="preserve">— </w:t>
      </w:r>
      <w:r>
        <w:rPr>
          <w:color w:val="1E293B"/>
          <w:sz w:val="21"/>
        </w:rPr>
        <w:t>03_generation_and_sampling.ipynb — режимы сэмплирования и их спектральные следы</w:t>
      </w:r>
    </w:p>
    <w:p>
      <w:pPr>
        <w:spacing w:after="60" w:line="288" w:lineRule="auto"/>
        <w:ind w:left="320"/>
      </w:pPr>
      <w:r>
        <w:rPr>
          <w:b/>
          <w:color w:val="0A9B72"/>
          <w:sz w:val="21"/>
        </w:rPr>
        <w:t xml:space="preserve">— </w:t>
      </w:r>
      <w:r>
        <w:rPr>
          <w:color w:val="1E293B"/>
          <w:sz w:val="21"/>
        </w:rPr>
        <w:t>04_multilingual_labs.ipynb — семиязычная лаборатория в действии</w:t>
      </w:r>
    </w:p>
    <w:p>
      <w:pPr>
        <w:spacing w:after="60" w:line="288" w:lineRule="auto"/>
        <w:ind w:left="320"/>
      </w:pPr>
      <w:r>
        <w:rPr>
          <w:b/>
          <w:color w:val="0A9B72"/>
          <w:sz w:val="21"/>
        </w:rPr>
        <w:t xml:space="preserve">— </w:t>
      </w:r>
      <w:r>
        <w:rPr>
          <w:color w:val="1E293B"/>
          <w:sz w:val="21"/>
        </w:rPr>
        <w:t>05_tinygpt_v3_modernizations.ipynb — обновления тренера, токенизатора и корпуса v3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B7E5A"/>
        <w:sz w:val="18"/>
        <w:szCs w:val="18"/>
      </w:rPr>
      <w:t xml:space="preserve">— </w:t>
    </w:r>
    <w:r>
      <w:rPr>
        <w:rFonts w:ascii="Times New Roman" w:cs="Times New Roman" w:eastAsia="Times New Roman" w:hAnsi="Times New Roman"/>
        <w:color w:val="8B7E5A"/>
        <w:sz w:val="18"/>
        <w:szCs w:val="18"/>
      </w:rPr>
      <w:fldChar w:fldCharType="begin"/>
      <w:instrText xml:space="preserve">PAGE</w:instrText>
      <w:fldChar w:fldCharType="separate"/>
      <w:fldChar w:fldCharType="end"/>
    </w:r>
    <w:r>
      <w:rPr>
        <w:rFonts w:ascii="Times New Roman" w:cs="Times New Roman" w:eastAsia="Times New Roman" w:hAnsi="Times New Roman"/>
        <w:color w:val="8B7E5A"/>
        <w:sz w:val="18"/>
        <w:szCs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издание «Аврора» · M01 · Спектральный анализ  ·  </w:t>
    </w:r>
    <w:fldSimple w:instr=" PAGE \* arabic \* MERGEFORMAT ">
      <w:r>
        <w:rPr>
          <w:sz w:val="16"/>
          <w:color w:val="64748B"/>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B7E5A"/>
        <w:sz w:val="18"/>
        <w:szCs w:val="18"/>
      </w:rPr>
      <w:t xml:space="preserve">Случайная матричная теория и активации БЯМ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b/>
      <w:bCs/>
      <w:color w:val="1A1A1A"/>
      <w:sz w:val="32"/>
      <w:szCs w:val="32"/>
    </w:rPr>
  </w:style>
  <w:style w:type="paragraph" w:styleId="Heading2">
    <w:name w:val="Heading 2"/>
    <w:basedOn w:val="Normal"/>
    <w:next w:val="Normal"/>
    <w:qFormat/>
    <w:pPr>
      <w:spacing w:after="240" w:before="360" w:line="360"/>
      <w:outlineLvl w:val="1"/>
    </w:pPr>
    <w:rPr>
      <w:rFonts w:ascii="Times New Roman" w:eastAsia="Times New Roman"/>
      <w:b/>
      <w:bCs/>
      <w:color w:val="1A1A1A"/>
      <w:sz w:val="30"/>
      <w:szCs w:val="30"/>
    </w:rPr>
  </w:style>
  <w:style w:type="paragraph" w:styleId="Heading3">
    <w:name w:val="Heading 3"/>
    <w:basedOn w:val="Normal"/>
    <w:next w:val="Normal"/>
    <w:qFormat/>
    <w:pPr>
      <w:spacing w:after="160" w:before="240" w:line="312"/>
      <w:outlineLvl w:val="2"/>
    </w:pPr>
    <w:rPr>
      <w:rFonts w:ascii="Times New Roman" w:eastAsia="Times New Roman"/>
      <w:b/>
      <w:bCs/>
      <w:color w:val="5A50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0ebf48d2dceb9b1b5bd09747bea16821de4cc7.png"/><Relationship Id="rId10" Type="http://schemas.openxmlformats.org/officeDocument/2006/relationships/image" Target="media/a61cec3492dd62429c21842f6d33fd87cfad15f1.png"/><Relationship Id="rId11" Type="http://schemas.openxmlformats.org/officeDocument/2006/relationships/image" Target="media/05fa33b41a06ab5c5874f8e90a3c41c773b1e76b.png"/><Relationship Id="rId12" Type="http://schemas.openxmlformats.org/officeDocument/2006/relationships/image" Target="media/9fe7411a6e7a40ec24988e1848577686d30c5e56.png"/><Relationship Id="rId13" Type="http://schemas.openxmlformats.org/officeDocument/2006/relationships/image" Target="media/695d7301b5969724f106cb2452b993345b2d5ee0.png"/><Relationship Id="rId14" Type="http://schemas.openxmlformats.org/officeDocument/2006/relationships/image" Target="media/fcd7d06e7325393a8991d79b9000d9fdcd7f6a91.png"/><Relationship Id="rId15" Type="http://schemas.openxmlformats.org/officeDocument/2006/relationships/image" Target="media/105c2b6a0f90389ccebb932049525ed034e7bf73.png"/><Relationship Id="rId16" Type="http://schemas.openxmlformats.org/officeDocument/2006/relationships/image" Target="media/dd00cdf6a72d709b693471eb1e757dc2e41721d4.png"/><Relationship Id="rId17" Type="http://schemas.openxmlformats.org/officeDocument/2006/relationships/image" Target="media/abb28f7f364198c73b9607fdad4ef5dc28866f3d.png"/><Relationship Id="rId18" Type="http://schemas.openxmlformats.org/officeDocument/2006/relationships/image" Target="media/09dd9f5887a30c93d730f7111498476f996cbb41.png"/><Relationship Id="rId19" Type="http://schemas.openxmlformats.org/officeDocument/2006/relationships/image" Target="media/72cdbf610743dcd2d8a3fe7184a10ccd422e808a.png"/><Relationship Id="rId20" Type="http://schemas.openxmlformats.org/officeDocument/2006/relationships/image" Target="media/2c1f86a1fbf75a005ee41876e60911cbc0158646.png"/><Relationship Id="rId21" Type="http://schemas.openxmlformats.org/officeDocument/2006/relationships/image" Target="media/1b905cbcea7238ddb32c1642b81e58fc99fd7d74.png"/><Relationship Id="rId22" Type="http://schemas.openxmlformats.org/officeDocument/2006/relationships/fontTable" Target="fontTable.xml"/><Relationship Id="rId23" Type="http://schemas.openxmlformats.org/officeDocument/2006/relationships/image" Target="media/image1.png"/><Relationship Id="rId24" Type="http://schemas.openxmlformats.org/officeDocument/2006/relationships/footer" Target="footer2.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2026-05-16T09:44:44.725Z</dcterms:created>
  <dcterms:modified xsi:type="dcterms:W3CDTF">2026-05-16T09:44:44.726Z</dcterms:modified>
</cp:coreProperties>
</file>

<file path=docProps/custom.xml><?xml version="1.0" encoding="utf-8"?>
<Properties xmlns="http://schemas.openxmlformats.org/officeDocument/2006/custom-properties" xmlns:vt="http://schemas.openxmlformats.org/officeDocument/2006/docPropsVTypes"/>
</file>