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60"/>
        <w:tblGridChange w:id="0">
          <w:tblGrid>
            <w:gridCol w:w="10260"/>
          </w:tblGrid>
        </w:tblGridChange>
      </w:tblGrid>
      <w:tr>
        <w:trPr>
          <w:cantSplit w:val="0"/>
          <w:trHeight w:val="16838" w:hRule="atLeast"/>
          <w:tblHeader w:val="0"/>
        </w:trPr>
        <w:tc>
          <w:tcPr>
            <w:tcBorders>
              <w:top w:color="000000" w:space="0" w:sz="0" w:val="nil"/>
              <w:left w:color="000000" w:space="0" w:sz="0" w:val="nil"/>
              <w:bottom w:color="000000" w:space="0" w:sz="0" w:val="nil"/>
              <w:right w:color="000000" w:space="0" w:sz="0" w:val="nil"/>
            </w:tcBorders>
            <w:shd w:fill="1a1a1a" w:val="cle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4">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5">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6">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7">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08">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9">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before="2800" w:lineRule="auto"/>
              <w:rPr/>
            </w:pP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Times New Roman" w:cs="Times New Roman" w:eastAsia="Times New Roman" w:hAnsi="Times New Roman"/>
                <w:b w:val="1"/>
                <w:bCs w:val="1"/>
                <w:color w:val="c9a84c"/>
                <w:sz w:val="56"/>
                <w:szCs w:val="56"/>
                <w:rtl w:val="0"/>
              </w:rPr>
              <w:t xml:space="preserve">RANDOM MATRIX THEORY</w:t>
            </w: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Fonts w:ascii="Times New Roman" w:cs="Times New Roman" w:eastAsia="Times New Roman" w:hAnsi="Times New Roman"/>
                <w:b w:val="1"/>
                <w:bCs w:val="1"/>
                <w:color w:val="ffffff"/>
                <w:sz w:val="44"/>
                <w:szCs w:val="44"/>
                <w:rtl w:val="0"/>
              </w:rPr>
              <w:t xml:space="preserve">MEETS LARGE LANGUAGE MODELS</w:t>
            </w:r>
            <w:r w:rsidDel="00000000" w:rsidR="00000000" w:rsidRPr="00000000">
              <w:rPr>
                <w:rtl w:val="0"/>
              </w:rPr>
            </w:r>
          </w:p>
          <w:p w:rsidR="00000000" w:rsidDel="00000000" w:rsidP="00000000" w:rsidRDefault="00000000" w:rsidRPr="00000000" w14:paraId="00000011">
            <w:pPr>
              <w:pBdr>
                <w:top w:color="c9a84c" w:space="20" w:sz="6" w:val="single"/>
              </w:pBdr>
              <w:spacing w:after="300" w:before="300" w:lineRule="auto"/>
              <w:ind w:left="2500" w:right="2500" w:firstLine="0"/>
              <w:jc w:val="center"/>
              <w:rPr/>
            </w:pP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Spectral Signatures of Factual vs. Creative Generation</w:t>
            </w: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in GPT-2 Activations</w:t>
            </w:r>
            <w:r w:rsidDel="00000000" w:rsidR="00000000" w:rsidRPr="00000000">
              <w:rPr>
                <w:rtl w:val="0"/>
              </w:rPr>
            </w:r>
          </w:p>
          <w:p w:rsidR="00000000" w:rsidDel="00000000" w:rsidP="00000000" w:rsidRDefault="00000000" w:rsidRPr="00000000" w14:paraId="00000014">
            <w:pPr>
              <w:spacing w:before="1800" w:lineRule="auto"/>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arXiv Preprint:  </w:t>
            </w:r>
            <w:r w:rsidDel="00000000" w:rsidR="00000000" w:rsidRPr="00000000">
              <w:rPr>
                <w:rFonts w:ascii="Times New Roman" w:cs="Times New Roman" w:eastAsia="Times New Roman" w:hAnsi="Times New Roman"/>
                <w:color w:val="e8d48b"/>
                <w:sz w:val="22"/>
                <w:szCs w:val="22"/>
                <w:rtl w:val="0"/>
              </w:rPr>
              <w:t xml:space="preserve">2026</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Model:  </w:t>
            </w:r>
            <w:r w:rsidDel="00000000" w:rsidR="00000000" w:rsidRPr="00000000">
              <w:rPr>
                <w:rFonts w:ascii="Times New Roman" w:cs="Times New Roman" w:eastAsia="Times New Roman" w:hAnsi="Times New Roman"/>
                <w:color w:val="e8d48b"/>
                <w:sz w:val="22"/>
                <w:szCs w:val="22"/>
                <w:rtl w:val="0"/>
              </w:rPr>
              <w:t xml:space="preserve">GPT-2 (124M Parameters)</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Framework:  </w:t>
            </w:r>
            <w:r w:rsidDel="00000000" w:rsidR="00000000" w:rsidRPr="00000000">
              <w:rPr>
                <w:rFonts w:ascii="Times New Roman" w:cs="Times New Roman" w:eastAsia="Times New Roman" w:hAnsi="Times New Roman"/>
                <w:color w:val="e8d48b"/>
                <w:sz w:val="22"/>
                <w:szCs w:val="22"/>
                <w:rtl w:val="0"/>
              </w:rPr>
              <w:t xml:space="preserve">Random Matrix Theory + Information Theory</w:t>
            </w: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Key Result:  </w:t>
            </w:r>
            <w:r w:rsidDel="00000000" w:rsidR="00000000" w:rsidRPr="00000000">
              <w:rPr>
                <w:rFonts w:ascii="Times New Roman" w:cs="Times New Roman" w:eastAsia="Times New Roman" w:hAnsi="Times New Roman"/>
                <w:color w:val="e8d48b"/>
                <w:sz w:val="22"/>
                <w:szCs w:val="22"/>
                <w:rtl w:val="0"/>
              </w:rPr>
              <w:t xml:space="preserve">BBP Phase Transition Distinguishes Generation Modes</w:t>
            </w:r>
            <w:r w:rsidDel="00000000" w:rsidR="00000000" w:rsidRPr="00000000">
              <w:rPr>
                <w:rtl w:val="0"/>
              </w:rPr>
            </w:r>
          </w:p>
          <w:p w:rsidR="00000000" w:rsidDel="00000000" w:rsidP="00000000" w:rsidRDefault="00000000" w:rsidRPr="00000000" w14:paraId="00000019">
            <w:pPr>
              <w:spacing w:before="800" w:lineRule="auto"/>
              <w:rPr/>
            </w:pPr>
            <w:r w:rsidDel="00000000" w:rsidR="00000000" w:rsidRPr="00000000">
              <w:rPr>
                <w:rtl w:val="0"/>
              </w:rPr>
            </w:r>
          </w:p>
          <w:tbl>
            <w:tblPr>
              <w:tblStyle w:val="Table3"/>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1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1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1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1D">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1E">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1F">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0">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21">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22">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2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c>
      </w:tr>
    </w:tbl>
    <w:p>
      <w:pPr>
        <w:spacing w:before="0" w:after="0"/>
        <w:jc w:val="center"/>
      </w:pPr>
      <w:r>
        <w:drawing>
          <wp:inline>
            <wp:extent cx="5440871" cy="7696200"/>
            <wp:docPr id="27" name="Picture 27"/>
            <wp:cNvGraphicFramePr>
              <a:graphicFrameLocks noChangeAspect="1"/>
            </wp:cNvGraphicFramePr>
            <a:graphic>
              <a:graphicData uri="http://schemas.openxmlformats.org/drawingml/2006/picture">
                <pic:pic>
                  <pic:nvPicPr>
                    <pic:cNvPr id="0" name="cover_M03_EN.png"/>
                    <pic:cNvPicPr/>
                  </pic:nvPicPr>
                  <pic:blipFill>
                    <a:blip r:embed="rId38"/>
                    <a:stretch>
                      <a:fillRect/>
                    </a:stretch>
                  </pic:blipFill>
                  <pic:spPr>
                    <a:xfrm>
                      <a:off x="0" y="0"/>
                      <a:ext cx="5440871" cy="7696200"/>
                    </a:xfrm>
                    <a:prstGeom prst="rect"/>
                  </pic:spPr>
                </pic:pic>
              </a:graphicData>
            </a:graphic>
          </wp:inline>
        </w:drawing>
      </w:r>
    </w:p>
    <w:p>
      <w:pPr>
        <w:spacing w:before="0" w:after="0"/>
      </w:pPr>
      <w:r>
        <w:rPr>
          <w:sz w:val="4"/>
        </w:rPr>
        <w:br w:type="page"/>
      </w:r>
    </w:p>
    <w:p w:rsidR="00000000" w:rsidDel="00000000" w:rsidP="00000000" w:rsidRDefault="00000000" w:rsidRPr="00000000" w14:paraId="00000027">
      <w:pPr>
        <w:pStyle w:val="Heading1"/>
        <w:pBdr>
          <w:bottom w:color="c9a84c" w:space="8" w:sz="4" w:val="single"/>
        </w:pBdr>
        <w:spacing w:after="240" w:before="480" w:line="400" w:lineRule="auto"/>
        <w:jc w:val="left"/>
        <w:rPr/>
      </w:pPr>
      <w:bookmarkStart w:colFirst="0" w:colLast="0" w:name="_pyrjawjgb5s1" w:id="0"/>
      <w:bookmarkEnd w:id="0"/>
      <w:r w:rsidDel="00000000" w:rsidR="00000000" w:rsidRPr="00000000">
        <w:rPr>
          <w:rFonts w:ascii="Times New Roman" w:cs="Times New Roman" w:eastAsia="Times New Roman" w:hAnsi="Times New Roman"/>
          <w:b/>
          <w:bCs w:val="1"/>
          <w:color w:val="0A9B72"/>
          <w:sz w:val="36"/>
          <w:szCs w:val="36"/>
          <w:rtl w:val="0"/>
        </w:rPr>
        <w:t xml:space="preserve">Abstract</w:t>
      </w:r>
      <w:r w:rsidDel="00000000" w:rsidR="00000000" w:rsidRPr="00000000">
        <w:rPr>
          <w:b/>
          <w:color w:val="0A9B72"/>
          <w:rtl w:val="0"/>
        </w:rPr>
      </w:r>
    </w:p>
    <w:p w:rsidR="00000000" w:rsidDel="00000000" w:rsidP="00000000" w:rsidRDefault="00000000" w:rsidRPr="00000000" w14:paraId="0000002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paper presents a comprehensive investigation into the application of Random Matrix Theory (RMT) to the analysis of activation matrices extracted from large language models (LLMs), specifically GPT-2. We demonstrate that the spectral properties of covariance matrices formed from hidden-state activations exhibit fundamentally different characteristics depending on whether the model is engaged in factual recall or creative generation. Our analysis reveals that factual generation produces covariance matrices whose largest eigenvalue significantly exceeds the Marchenko-Pastur upper bound, signaling a BBP (Baik-Ben Arous-Peché) phase transition indicative of a structured, low-rank signal component embedded within the activation space. In contrast, creative generation yields eigenvalue spectra that remain largely within the bulk distribution predicted by RMT for random matrices, suggesting a more distributed, high-entropy representation across the model's hidden dimensions.</w:t>
      </w:r>
      <w:r w:rsidDel="00000000" w:rsidR="00000000" w:rsidRPr="00000000">
        <w:rPr>
          <w:rtl w:val="0"/>
        </w:rPr>
      </w:r>
    </w:p>
    <w:p w:rsidR="00000000" w:rsidDel="00000000" w:rsidP="00000000" w:rsidRDefault="00000000" w:rsidRPr="00000000" w14:paraId="0000002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introduce a suite of spectral metrics—including Participation Ratio (PR), Signal-to-Noise Ratio (SNR), spectral entropy, Inverse Participation Ratio (IPR), spacing ratio distributions, and the spectral form factor—that collectively provide a multi-dimensional characterization of the “generation mode” of an LLM. Furthermore, we develop a thermodynamic analogy in which the spectral free energy F = U - TS_spec, where U corresponds to the largest eigenvalue and S_spec to the spectral entropy, naturally distinguishes between factual (bound state, F &lt; 0) and creative (gas state, F ≈ 0) phases. We extend our analysis across all twelve layers of GPT-2, revealing a renormalization group (RG) flow trajectory in the (PR, lambda_max/lambda_+) plane, where intermediate layers (5-8) act as a critical region analogous to a second-order phase transition. Our experimental validation encompasses temperature sweeps, prompt-length dependence studies, and cross-layer spectral transfer analysis, all of which confirm the robustness and universality of the observed spectral signatures.</w:t>
      </w:r>
      <w:r w:rsidDel="00000000" w:rsidR="00000000" w:rsidRPr="00000000">
        <w:rPr>
          <w:rtl w:val="0"/>
        </w:rPr>
      </w:r>
    </w:p>
    <w:p w:rsidR="00000000" w:rsidDel="00000000" w:rsidP="00000000" w:rsidRDefault="00000000" w:rsidRPr="00000000" w14:paraId="0000002A">
      <w:pPr>
        <w:spacing w:after="300" w:before="300" w:lineRule="auto"/>
        <w:jc w:val="center"/>
        <w:rPr/>
        <w:sectPr>
          <w:headerReference r:id="rId6" w:type="default"/>
          <w:footerReference r:id="rId7" w:type="default"/>
          <w:type w:val="nextPage"/>
          <w:pgSz w:h="16838" w:w="11906" w:orient="portrait"/>
          <w:pgMar w:bottom="1440" w:top="1440" w:left="1701" w:right="1417" w:header="708" w:footer="708"/>
          <w:pgNumType w:start="1"/>
        </w:sect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2B">
      <w:pPr>
        <w:spacing w:after="300" w:before="400" w:lineRule="auto"/>
        <w:jc w:val="center"/>
        <w:rPr/>
      </w:pPr>
      <w:r w:rsidDel="00000000" w:rsidR="00000000" w:rsidRPr="00000000">
        <w:rPr>
          <w:rFonts w:ascii="Times New Roman" w:cs="Times New Roman" w:eastAsia="Times New Roman" w:hAnsi="Times New Roman"/>
          <w:b/>
          <w:bCs w:val="1"/>
          <w:color w:val="0A9B72"/>
          <w:sz w:val="36"/>
          <w:szCs w:val="36"/>
          <w:rtl w:val="0"/>
        </w:rPr>
        <w:t xml:space="preserve">Table of Contents</w:t>
      </w:r>
      <w:r w:rsidDel="00000000" w:rsidR="00000000" w:rsidRPr="00000000">
        <w:rPr>
          <w:b/>
          <w:color w:val="0A9B72"/>
          <w:rtl w:val="0"/>
        </w:rPr>
      </w:r>
    </w:p>
    <w:tbl>
      <w:tblPr>
        <w:tblStyle w:val="Table4"/>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sdt>
      <w:sdtPr>
        <w:id w:val="-720017292"/>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pyrjawjgb5s1">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ihgnh2rt8imn">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27wt909za3e2">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1.1 Motivation and Background</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mtj3ulq0k6sm">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1.2 Research Questions</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lneosmgs1jb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1.3 Contributions</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n3eu5abqsseq">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1.4 Paper Structure</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qf7cjgrejga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2. Theoretical Foundations</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wppb6wzwzm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2.1 Marchenko-Pastur Law</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s23gqkb4h5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2.2 BBP Phase Transition</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afx3mds5ko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2.3 Tracy-Widom Distribution</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9ew92nfknql6">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2.4 Spectral Form Factor</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cjhffrqgfuij">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2.5 Participation Ratio and Inverse Participation Ratio</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zhc2zvl8s00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2.6 Spacing Ratio Distribution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7pz0d9ib6mw5">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3. Methodology</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cyoalgte2b9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3.1 Model and Activation Extraction</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sn9qdzkb28y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3.2 Prompt Design: Factual vs. Creative</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o66q2waojwn">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3.3 Spectral Analysis Pipeline</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agb30sn07pml">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4. Core Experimental Results</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66nsz9ljbai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4.1 Eigenvalue Density: Factual vs. Creative</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ars43gk6g55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4.2 Scree Plot Analysis</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i7wsoq28yzyo">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4.3 Participation Ratio Comparison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vswiobon8f0z">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5. Advanced Experiments</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1qe5dq929i5x">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5.1 Temperature Sweep: Spectral Phase Transition</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8havtu77qro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5.2 Cross-Layer Spectral Transfer</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w3ei5ft83jr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5.3 Inverse Participation Ratio Across Layers</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41y50cibn67b">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5.4 Prompt Length Dependence</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ff8a4p2qo3e">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6. Theoretical Extensions</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1uus9tzorbo">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6.1 Free Energy Analogy: F = U - TS_spec</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acpfoa28qp0">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6.2 Renormalization Group Flow Across Layers</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7n318dedouk3">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6.3 Information-Theoretic Connection</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yxjvbi942s0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6.4 Spacing Ratio and Spectral Correlations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w0wii17lvpo">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6.5 BBP Transition Schematic</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38d62r26xqut">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7. Spectral Form Factor Analysis</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4acjb9ryraj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7.1 Empirical Spectral Form Factor</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teovg15kkggj">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7.2 Comprehensive Spectral Metrics Heatmap</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5eyi2peyh41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8. Discussion</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y25l6959ypva">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8.1 Implications for LLM Interpretability</w:t>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36s1rrroog6j">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8.2 Connections to Other Work</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axrgad7rq16d">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8.3 Limitations</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320463hdzmv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8.4 Future Directions</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kt2yq1q1yrc">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9. Conclusions</w:t>
              <w:tab/>
              <w:t xml:space="preserve">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uja7un2st73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A: Mathematical Derivations</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rbopwvstl1gq">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A.1 Derivation of Spectral Free Energy</w:t>
              <w:tab/>
              <w:t xml:space="preserve">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lc6hrt9h6sq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A.2 Covariance Matrix Construction</w:t>
              <w:tab/>
              <w:t xml:space="preserve">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z83pe2atjklc">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B: Experimental Details</w:t>
              <w:tab/>
              <w:t xml:space="preserve">21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rdojmqj250z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C: Code Implementation</w:t>
              <w:tab/>
              <w:t xml:space="preserve">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fs0vwju34du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before="200" w:lineRule="auto"/>
        <w:jc w:val="center"/>
        <w:rPr/>
      </w:pPr>
      <w:r w:rsidDel="00000000" w:rsidR="00000000" w:rsidRPr="00000000">
        <w:rPr>
          <w:rFonts w:ascii="Times New Roman" w:cs="Times New Roman" w:eastAsia="Times New Roman" w:hAnsi="Times New Roman"/>
          <w:i w:val="1"/>
          <w:iCs w:val="1"/>
          <w:color w:val="888888"/>
          <w:sz w:val="18"/>
          <w:szCs w:val="18"/>
          <w:rtl w:val="0"/>
        </w:rPr>
        <w:t xml:space="preserve">Note: Right-click on the TOC and select “Update Field” to refresh page numbers.</w:t>
      </w:r>
      <w:r w:rsidDel="00000000" w:rsidR="00000000" w:rsidRPr="00000000">
        <w:rPr>
          <w:rtl w:val="0"/>
        </w:rPr>
      </w:r>
    </w:p>
    <w:p w:rsidR="00000000" w:rsidDel="00000000" w:rsidP="00000000" w:rsidRDefault="00000000" w:rsidRPr="00000000" w14:paraId="00000060">
      <w:pPr>
        <w:rPr/>
        <w:sectPr>
          <w:headerReference r:id="rId8" w:type="default"/>
          <w:footerReference r:id="rId9" w:type="default"/>
          <w:type w:val="nextPage"/>
          <w:pgSz w:h="16838" w:w="11906" w:orient="portrait"/>
          <w:pgMar w:bottom="1440" w:top="1440" w:left="1701"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c9a84c" w:space="8" w:sz="4" w:val="single"/>
        </w:pBdr>
        <w:spacing w:after="240" w:before="480" w:line="400" w:lineRule="auto"/>
        <w:jc w:val="left"/>
        <w:rPr/>
      </w:pPr>
      <w:bookmarkStart w:colFirst="0" w:colLast="0" w:name="_ihgnh2rt8imn" w:id="1"/>
      <w:bookmarkEnd w:id="1"/>
      <w:r w:rsidDel="00000000" w:rsidR="00000000" w:rsidRPr="00000000">
        <w:rPr>
          <w:rFonts w:ascii="Times New Roman" w:cs="Times New Roman" w:eastAsia="Times New Roman" w:hAnsi="Times New Roman"/>
          <w:b/>
          <w:bCs w:val="1"/>
          <w:color w:val="0A9B72"/>
          <w:sz w:val="36"/>
          <w:szCs w:val="36"/>
          <w:rtl w:val="0"/>
        </w:rPr>
        <w:t xml:space="preserve">1. Introduction</w:t>
      </w:r>
      <w:r w:rsidDel="00000000" w:rsidR="00000000" w:rsidRPr="00000000">
        <w:rPr>
          <w:b/>
          <w:color w:val="0A9B72"/>
          <w:rtl w:val="0"/>
        </w:rPr>
      </w:r>
    </w:p>
    <w:p w:rsidR="00000000" w:rsidDel="00000000" w:rsidP="00000000" w:rsidRDefault="00000000" w:rsidRPr="00000000" w14:paraId="00000062">
      <w:pPr>
        <w:pStyle w:val="Heading2"/>
        <w:pBdr>
          <w:left w:color="c9a84c" w:space="10" w:sz="10" w:val="single"/>
        </w:pBdr>
        <w:spacing w:after="180" w:before="360" w:line="360" w:lineRule="auto"/>
        <w:ind w:left="200" w:firstLine="0"/>
        <w:jc w:val="left"/>
        <w:rPr/>
      </w:pPr>
      <w:bookmarkStart w:colFirst="0" w:colLast="0" w:name="_27wt909za3e2" w:id="2"/>
      <w:bookmarkEnd w:id="2"/>
      <w:r w:rsidDel="00000000" w:rsidR="00000000" w:rsidRPr="00000000">
        <w:rPr>
          <w:rFonts w:ascii="Times New Roman" w:cs="Times New Roman" w:eastAsia="Times New Roman" w:hAnsi="Times New Roman"/>
          <w:b/>
          <w:bCs w:val="1"/>
          <w:color w:val="0E7FA8"/>
          <w:sz w:val="30"/>
          <w:szCs w:val="30"/>
          <w:rtl w:val="0"/>
        </w:rPr>
        <w:t xml:space="preserve">1.1 Motivation and Background</w:t>
      </w:r>
      <w:r w:rsidDel="00000000" w:rsidR="00000000" w:rsidRPr="00000000">
        <w:rPr>
          <w:b/>
          <w:color w:val="0E7FA8"/>
          <w:rtl w:val="0"/>
        </w:rPr>
      </w:r>
    </w:p>
    <w:p w:rsidR="00000000" w:rsidDel="00000000" w:rsidP="00000000" w:rsidRDefault="00000000" w:rsidRPr="00000000" w14:paraId="0000006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remarkable success of large language models (LLMs) in natural language processing has created an urgent need for interpretability frameworks that can explain the internal mechanisms driving their generation behavior. While the architectural foundations of transformer-based models—multi-head attention, layer normalization, and feed-forward networks—are well understood at the level of individual operations, the collective behavior of millions of parameters during inference remains largely opaque. This opacity poses significant challenges for understanding when and why models produce factual versus hallucinated content, creative versus deterministic outputs, or coherent versus degenerate text. The lack of principled tools for probing these distinctions at the level of activation dynamics represents a fundamental gap in our understanding of neural language models.</w:t>
      </w:r>
      <w:r w:rsidDel="00000000" w:rsidR="00000000" w:rsidRPr="00000000">
        <w:rPr>
          <w:rtl w:val="0"/>
        </w:rPr>
      </w:r>
    </w:p>
    <w:p w:rsidR="00000000" w:rsidDel="00000000" w:rsidP="00000000" w:rsidRDefault="00000000" w:rsidRPr="00000000" w14:paraId="0000006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Random Matrix Theory (RMT) provides a powerful mathematical framework for analyzing the spectral properties of large matrices whose entries exhibit statistical correlations. Originally developed in mathematical physics to describe the energy level statistics of complex quantum systems, RMT has found remarkable applications across diverse fields including wireless communications, financial risk modeling, and neuroscience. The central insight of RMT is that the eigenvalue spectrum of a random matrix—regardless of the specific distribution of its entries—converges to universal limiting distributions determined solely by the matrix's symmetry class and aspect ratio. This universality means that deviations from the predicted spectrum carry meaningful information about structured, non-random components embedded within the data, making RMT an ideal tool for detecting signal within noise.</w:t>
      </w:r>
      <w:r w:rsidDel="00000000" w:rsidR="00000000" w:rsidRPr="00000000">
        <w:rPr>
          <w:rtl w:val="0"/>
        </w:rPr>
      </w:r>
    </w:p>
    <w:p w:rsidR="00000000" w:rsidDel="00000000" w:rsidP="00000000" w:rsidRDefault="00000000" w:rsidRPr="00000000" w14:paraId="00000065">
      <w:pPr>
        <w:pStyle w:val="Heading2"/>
        <w:pBdr>
          <w:left w:color="c9a84c" w:space="10" w:sz="10" w:val="single"/>
        </w:pBdr>
        <w:spacing w:after="180" w:before="360" w:line="360" w:lineRule="auto"/>
        <w:ind w:left="200" w:firstLine="0"/>
        <w:jc w:val="left"/>
        <w:rPr/>
      </w:pPr>
      <w:bookmarkStart w:colFirst="0" w:colLast="0" w:name="_mtj3ulq0k6sm" w:id="3"/>
      <w:bookmarkEnd w:id="3"/>
      <w:r w:rsidDel="00000000" w:rsidR="00000000" w:rsidRPr="00000000">
        <w:rPr>
          <w:rFonts w:ascii="Times New Roman" w:cs="Times New Roman" w:eastAsia="Times New Roman" w:hAnsi="Times New Roman"/>
          <w:b/>
          <w:bCs w:val="1"/>
          <w:color w:val="0E7FA8"/>
          <w:sz w:val="30"/>
          <w:szCs w:val="30"/>
          <w:rtl w:val="0"/>
        </w:rPr>
        <w:t xml:space="preserve">1.2 Research Questions</w:t>
      </w:r>
      <w:r w:rsidDel="00000000" w:rsidR="00000000" w:rsidRPr="00000000">
        <w:rPr>
          <w:b/>
          <w:color w:val="0E7FA8"/>
          <w:rtl w:val="0"/>
        </w:rPr>
      </w:r>
    </w:p>
    <w:p w:rsidR="00000000" w:rsidDel="00000000" w:rsidP="00000000" w:rsidRDefault="00000000" w:rsidRPr="00000000" w14:paraId="0000006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work is motivated by three fundamental questions about the relationship between spectral properties of LLM activation matrices and the model's generation mode. First, can the eigenvalue spectrum of activation covariance matrices serve as a reliable indicator of whether an LLM is producing factual or creative output? Second, do universal results from RMT—such as the Marchenko-Pastur law, BBP phase transition, and Tracy-Widom statistics—apply meaningfully to the structured, non-random activation matrices produced by trained neural networks? Third, can the layer-wise evolution of spectral metrics across a transformer's depth be understood through the lens of renormalization group theory, where successive layers coarse-grain the representation space in a manner analogous to physical systems flowing toward fixed points?</w:t>
      </w:r>
      <w:r w:rsidDel="00000000" w:rsidR="00000000" w:rsidRPr="00000000">
        <w:rPr>
          <w:rtl w:val="0"/>
        </w:rPr>
      </w:r>
    </w:p>
    <w:p w:rsidR="00000000" w:rsidDel="00000000" w:rsidP="00000000" w:rsidRDefault="00000000" w:rsidRPr="00000000" w14:paraId="00000067">
      <w:pPr>
        <w:pStyle w:val="Heading2"/>
        <w:pBdr>
          <w:left w:color="c9a84c" w:space="10" w:sz="10" w:val="single"/>
        </w:pBdr>
        <w:spacing w:after="180" w:before="360" w:line="360" w:lineRule="auto"/>
        <w:ind w:left="200" w:firstLine="0"/>
        <w:jc w:val="left"/>
        <w:rPr/>
      </w:pPr>
      <w:bookmarkStart w:colFirst="0" w:colLast="0" w:name="_lneosmgs1jbe" w:id="4"/>
      <w:bookmarkEnd w:id="4"/>
      <w:r w:rsidDel="00000000" w:rsidR="00000000" w:rsidRPr="00000000">
        <w:rPr>
          <w:rFonts w:ascii="Times New Roman" w:cs="Times New Roman" w:eastAsia="Times New Roman" w:hAnsi="Times New Roman"/>
          <w:b/>
          <w:bCs w:val="1"/>
          <w:color w:val="0E7FA8"/>
          <w:sz w:val="30"/>
          <w:szCs w:val="30"/>
          <w:rtl w:val="0"/>
        </w:rPr>
        <w:t xml:space="preserve">1.3 Contributions</w:t>
      </w:r>
      <w:r w:rsidDel="00000000" w:rsidR="00000000" w:rsidRPr="00000000">
        <w:rPr>
          <w:b/>
          <w:color w:val="0E7FA8"/>
          <w:rtl w:val="0"/>
        </w:rPr>
      </w:r>
    </w:p>
    <w:p w:rsidR="00000000" w:rsidDel="00000000" w:rsidP="00000000" w:rsidRDefault="00000000" w:rsidRPr="00000000" w14:paraId="0000006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primary contributions of this work are fourfold. First, we establish the first systematic application of RMT to LLM activation analysis, demonstrating that the Marchenko-Pastur law provides a meaningful baseline against which to measure the degree of structure in activation covariance matrices. Second, we identify the BBP phase transition as the key spectral signature distinguishing factual from creative generation, providing both theoretical grounding and empirical validation. Third, we introduce the spectral free energy F = U - TS_spec as a unifying thermodynamic framework that naturally explains the observed spectral dichotomy. Fourth, we characterize the layer-wise evolution of spectral metrics as an RG flow, revealing that intermediate transformer layers serve as a critical region where the model transitions between high-entropy and low-entropy phases of representation.</w:t>
      </w:r>
      <w:r w:rsidDel="00000000" w:rsidR="00000000" w:rsidRPr="00000000">
        <w:rPr>
          <w:rtl w:val="0"/>
        </w:rPr>
      </w:r>
    </w:p>
    <w:p w:rsidR="00000000" w:rsidDel="00000000" w:rsidP="00000000" w:rsidRDefault="00000000" w:rsidRPr="00000000" w14:paraId="00000069">
      <w:pPr>
        <w:pStyle w:val="Heading2"/>
        <w:pBdr>
          <w:left w:color="c9a84c" w:space="10" w:sz="10" w:val="single"/>
        </w:pBdr>
        <w:spacing w:after="180" w:before="360" w:line="360" w:lineRule="auto"/>
        <w:ind w:left="200" w:firstLine="0"/>
        <w:jc w:val="left"/>
        <w:rPr/>
      </w:pPr>
      <w:bookmarkStart w:colFirst="0" w:colLast="0" w:name="_n3eu5abqsseq" w:id="5"/>
      <w:bookmarkEnd w:id="5"/>
      <w:r w:rsidDel="00000000" w:rsidR="00000000" w:rsidRPr="00000000">
        <w:rPr>
          <w:rFonts w:ascii="Times New Roman" w:cs="Times New Roman" w:eastAsia="Times New Roman" w:hAnsi="Times New Roman"/>
          <w:b/>
          <w:bCs w:val="1"/>
          <w:color w:val="0E7FA8"/>
          <w:sz w:val="30"/>
          <w:szCs w:val="30"/>
          <w:rtl w:val="0"/>
        </w:rPr>
        <w:t xml:space="preserve">1.4 Paper Structure</w:t>
      </w:r>
      <w:r w:rsidDel="00000000" w:rsidR="00000000" w:rsidRPr="00000000">
        <w:rPr>
          <w:b/>
          <w:color w:val="0E7FA8"/>
          <w:rtl w:val="0"/>
        </w:rPr>
      </w:r>
    </w:p>
    <w:p w:rsidR="00000000" w:rsidDel="00000000" w:rsidP="00000000" w:rsidRDefault="00000000" w:rsidRPr="00000000" w14:paraId="0000006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remainder of this paper is organized as follows. Section 2 provides the theoretical foundations of Random Matrix Theory as applied to neural network activations, covering the Marchenko-Pastur law, BBP transition, Tracy-Widom statistics, and spectral form factors. Section 3 describes our experimental methodology, including the GPT-2 model, prompt design, activation extraction procedure, and spectral analysis pipeline. Section 4 presents the core experimental results on eigenvalue density, scree analysis, and participation ratio comparisons between factual and creative generation. Section 5 extends the analysis to advanced spectral metrics including temperature sweeps, cross-layer transfer, and prompt-length dependence. Section 6 develops the theoretical extensions including the free energy analogy, RG flow, and information-theoretic connections. Section 7 discusses implications, limitations, and future directions. Section 8 concludes with a summary of key findings.</w:t>
      </w:r>
      <w:r w:rsidDel="00000000" w:rsidR="00000000" w:rsidRPr="00000000">
        <w:rPr>
          <w:rtl w:val="0"/>
        </w:rPr>
      </w:r>
    </w:p>
    <w:p w:rsidR="00000000" w:rsidDel="00000000" w:rsidP="00000000" w:rsidRDefault="00000000" w:rsidRPr="00000000" w14:paraId="0000006B">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6C">
      <w:pPr>
        <w:pStyle w:val="Heading1"/>
        <w:pBdr>
          <w:bottom w:color="c9a84c" w:space="8" w:sz="4" w:val="single"/>
        </w:pBdr>
        <w:spacing w:after="240" w:before="480" w:line="400" w:lineRule="auto"/>
        <w:jc w:val="left"/>
        <w:rPr/>
      </w:pPr>
      <w:bookmarkStart w:colFirst="0" w:colLast="0" w:name="_qf7cjgrejga7" w:id="6"/>
      <w:bookmarkEnd w:id="6"/>
      <w:r w:rsidDel="00000000" w:rsidR="00000000" w:rsidRPr="00000000">
        <w:rPr>
          <w:rFonts w:ascii="Times New Roman" w:cs="Times New Roman" w:eastAsia="Times New Roman" w:hAnsi="Times New Roman"/>
          <w:b/>
          <w:bCs w:val="1"/>
          <w:color w:val="0A9B72"/>
          <w:sz w:val="36"/>
          <w:szCs w:val="36"/>
          <w:rtl w:val="0"/>
        </w:rPr>
        <w:t xml:space="preserve">2. Theoretical Foundations</w:t>
      </w:r>
      <w:r w:rsidDel="00000000" w:rsidR="00000000" w:rsidRPr="00000000">
        <w:rPr>
          <w:b/>
          <w:color w:val="0A9B72"/>
          <w:rtl w:val="0"/>
        </w:rPr>
      </w:r>
    </w:p>
    <w:p w:rsidR="00000000" w:rsidDel="00000000" w:rsidP="00000000" w:rsidRDefault="00000000" w:rsidRPr="00000000" w14:paraId="0000006D">
      <w:pPr>
        <w:pStyle w:val="Heading2"/>
        <w:pBdr>
          <w:left w:color="c9a84c" w:space="10" w:sz="10" w:val="single"/>
        </w:pBdr>
        <w:spacing w:after="180" w:before="360" w:line="360" w:lineRule="auto"/>
        <w:ind w:left="200" w:firstLine="0"/>
        <w:jc w:val="left"/>
        <w:rPr/>
      </w:pPr>
      <w:bookmarkStart w:colFirst="0" w:colLast="0" w:name="_fwppb6wzwzmw" w:id="7"/>
      <w:bookmarkEnd w:id="7"/>
      <w:r w:rsidDel="00000000" w:rsidR="00000000" w:rsidRPr="00000000">
        <w:rPr>
          <w:rFonts w:ascii="Times New Roman" w:cs="Times New Roman" w:eastAsia="Times New Roman" w:hAnsi="Times New Roman"/>
          <w:b/>
          <w:bCs w:val="1"/>
          <w:color w:val="0E7FA8"/>
          <w:sz w:val="30"/>
          <w:szCs w:val="30"/>
          <w:rtl w:val="0"/>
        </w:rPr>
        <w:t xml:space="preserve">2.1 Marchenko-Pastur Law</w:t>
      </w:r>
      <w:r w:rsidDel="00000000" w:rsidR="00000000" w:rsidRPr="00000000">
        <w:rPr>
          <w:b/>
          <w:color w:val="0E7FA8"/>
          <w:rtl w:val="0"/>
        </w:rPr>
      </w:r>
    </w:p>
    <w:p w:rsidR="00000000" w:rsidDel="00000000" w:rsidP="00000000" w:rsidRDefault="00000000" w:rsidRPr="00000000" w14:paraId="0000006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Marchenko-Pastur (MP) law is the cornerstone result of random matrix theory applied to sample covariance matrices. Given a data matrix X ∈ R^{T×N} whose entries are independent and identically distributed with zero mean and unit variance, the sample covariance matrix C = (1/T) X^T X has an eigenvalue spectrum that, in the limit N, T → ∞ with q = N/T ∈ (0, 1], converges almost surely to a deterministic density. This limiting spectral density is given by the Marchenko-Pastur distribution, which depends only on the aspect ratio q = N/T and takes the form shown below. The support of the MP distribution is bounded by lambda_- = (1 - sqrt(q))^2 and lambda_+ = (1 + sqrt(q))^2, with all eigenvalues of a pure noise covariance matrix confined to this interval with probability one in the asymptotic limit.</w:t>
      </w:r>
      <w:r w:rsidDel="00000000" w:rsidR="00000000" w:rsidRPr="00000000">
        <w:rPr>
          <w:rtl w:val="0"/>
        </w:rPr>
      </w:r>
    </w:p>
    <w:tbl>
      <w:tblPr>
        <w:tblStyle w:val="Table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6F">
            <w:pPr>
              <w:jc w:val="center"/>
              <w:rPr/>
            </w:pPr>
            <w:r w:rsidDel="00000000" w:rsidR="00000000" w:rsidRPr="00000000">
              <w:rPr/>
              <w:drawing>
                <wp:inline distB="0" distT="0" distL="0" distR="0">
                  <wp:extent cx="3619500" cy="8191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1950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2-1: Marchenko-Pastur spectral density</w:t>
      </w:r>
      <w:r w:rsidDel="00000000" w:rsidR="00000000" w:rsidRPr="00000000">
        <w:rPr>
          <w:rtl w:val="0"/>
        </w:rPr>
      </w:r>
    </w:p>
    <w:tbl>
      <w:tblPr>
        <w:tblStyle w:val="Table6"/>
        <w:tblW w:w="8685.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1">
            <w:pPr>
              <w:jc w:val="center"/>
              <w:rPr/>
            </w:pPr>
            <w:r w:rsidDel="00000000" w:rsidR="00000000" w:rsidRPr="00000000">
              <w:rPr/>
              <w:drawing>
                <wp:inline distB="0" distT="0" distL="0" distR="0">
                  <wp:extent cx="3238500" cy="42862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3850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2-2: MP law support boundaries</w:t>
      </w:r>
      <w:r w:rsidDel="00000000" w:rsidR="00000000" w:rsidRPr="00000000">
        <w:rPr>
          <w:rtl w:val="0"/>
        </w:rPr>
      </w:r>
    </w:p>
    <w:p w:rsidR="00000000" w:rsidDel="00000000" w:rsidP="00000000" w:rsidRDefault="00000000" w:rsidRPr="00000000" w14:paraId="0000007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GPT-2 with hidden dimension N = 768 and typical sequence length T = 200, the aspect ratio q = N/T = 3.84. When q &gt; 1 (the “1/p” regime), the MP distribution is modified: exactly N - T eigenvalues are exactly zero, and the remaining T eigenvalues follow the scaled MP distribution with effective ratio 1/q. This results in lambda_+ = (1 + sqrt(1/q))^2 = (1 + 1/sqrt(q))^2, yielding a theoretical upper bound for the bulk eigenvalue distribution. Any eigenvalue significantly exceeding this bound indicates the presence of a structured signal component that cannot be explained by random noise alone.</w:t>
      </w:r>
      <w:r w:rsidDel="00000000" w:rsidR="00000000" w:rsidRPr="00000000">
        <w:rPr>
          <w:rtl w:val="0"/>
        </w:rPr>
      </w:r>
    </w:p>
    <w:p w:rsidR="00000000" w:rsidDel="00000000" w:rsidP="00000000" w:rsidRDefault="00000000" w:rsidRPr="00000000" w14:paraId="00000074">
      <w:pPr>
        <w:pStyle w:val="Heading2"/>
        <w:pBdr>
          <w:left w:color="c9a84c" w:space="10" w:sz="10" w:val="single"/>
        </w:pBdr>
        <w:spacing w:after="180" w:before="360" w:line="360" w:lineRule="auto"/>
        <w:ind w:left="200" w:firstLine="0"/>
        <w:jc w:val="left"/>
        <w:rPr/>
      </w:pPr>
      <w:bookmarkStart w:colFirst="0" w:colLast="0" w:name="_s23gqkb4h5r" w:id="8"/>
      <w:bookmarkEnd w:id="8"/>
      <w:r w:rsidDel="00000000" w:rsidR="00000000" w:rsidRPr="00000000">
        <w:rPr>
          <w:rFonts w:ascii="Times New Roman" w:cs="Times New Roman" w:eastAsia="Times New Roman" w:hAnsi="Times New Roman"/>
          <w:b/>
          <w:bCs w:val="1"/>
          <w:color w:val="0E7FA8"/>
          <w:sz w:val="30"/>
          <w:szCs w:val="30"/>
          <w:rtl w:val="0"/>
        </w:rPr>
        <w:t xml:space="preserve">2.2 BBP Phase Transition</w:t>
      </w:r>
      <w:r w:rsidDel="00000000" w:rsidR="00000000" w:rsidRPr="00000000">
        <w:rPr>
          <w:b/>
          <w:color w:val="0E7FA8"/>
          <w:rtl w:val="0"/>
        </w:rPr>
      </w:r>
    </w:p>
    <w:p w:rsidR="00000000" w:rsidDel="00000000" w:rsidP="00000000" w:rsidRDefault="00000000" w:rsidRPr="00000000" w14:paraId="0000007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Baik-Ben Arous-Peché (BBP) phase transition describes a fundamental phenomenon in random matrix theory: the emergence of outlier eigenvalues from the bulk spectrum when a structured signal is added to a random matrix. Consider a rank-one perturbation of the form C = C_noise + sigma * u * u^T, where C_noise is a Wishart random matrix and u is a fixed unit vector. As the signal strength sigma increases past a critical threshold sigma_c, the largest eigenvalue of C detaches from the bulk and separates from lambda_+ as an isolated outlier. This transition is sharp in the asymptotic limit and provides a mathematically precise criterion for detecting signal in high-dimensional noisy data.</w:t>
      </w:r>
      <w:r w:rsidDel="00000000" w:rsidR="00000000" w:rsidRPr="00000000">
        <w:rPr>
          <w:rtl w:val="0"/>
        </w:rPr>
      </w:r>
    </w:p>
    <w:tbl>
      <w:tblPr>
        <w:tblStyle w:val="Table7"/>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6">
            <w:pPr>
              <w:jc w:val="center"/>
              <w:rPr/>
            </w:pPr>
            <w:r w:rsidDel="00000000" w:rsidR="00000000" w:rsidRPr="00000000">
              <w:rPr/>
              <w:drawing>
                <wp:inline distB="0" distT="0" distL="0" distR="0">
                  <wp:extent cx="3619500" cy="381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1950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2-3: BBP transition criterion</w:t>
      </w:r>
      <w:r w:rsidDel="00000000" w:rsidR="00000000" w:rsidRPr="00000000">
        <w:rPr>
          <w:rtl w:val="0"/>
        </w:rPr>
      </w:r>
    </w:p>
    <w:p w:rsidR="00000000" w:rsidDel="00000000" w:rsidP="00000000" w:rsidRDefault="00000000" w:rsidRPr="00000000" w14:paraId="0000007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context of LLM activations, the BBP transition provides a natural interpretation for the spectral differences between factual and creative generation. Factual prompts activate specific, well-structured representations in the model's hidden states, producing a covariance matrix with a strong rank-one component that pushes the largest eigenvalue above the MP bound. Creative prompts, by contrast, engage a more distributed set of representations, resulting in a covariance matrix whose spectrum remains within the bulk. The ratio lambda_max/lambda_+ thus serves as a direct measure of the “signal strength” in the model's activation space, with values greater than one indicating a BBP-type phase transition into a factual generation regime.</w:t>
      </w:r>
      <w:r w:rsidDel="00000000" w:rsidR="00000000" w:rsidRPr="00000000">
        <w:rPr>
          <w:rtl w:val="0"/>
        </w:rPr>
      </w:r>
    </w:p>
    <w:p w:rsidR="00000000" w:rsidDel="00000000" w:rsidP="00000000" w:rsidRDefault="00000000" w:rsidRPr="00000000" w14:paraId="00000079">
      <w:pPr>
        <w:pStyle w:val="Heading2"/>
        <w:pBdr>
          <w:left w:color="c9a84c" w:space="10" w:sz="10" w:val="single"/>
        </w:pBdr>
        <w:spacing w:after="180" w:before="360" w:line="360" w:lineRule="auto"/>
        <w:ind w:left="200" w:firstLine="0"/>
        <w:jc w:val="left"/>
        <w:rPr/>
      </w:pPr>
      <w:bookmarkStart w:colFirst="0" w:colLast="0" w:name="_fafx3mds5kol" w:id="9"/>
      <w:bookmarkEnd w:id="9"/>
      <w:r w:rsidDel="00000000" w:rsidR="00000000" w:rsidRPr="00000000">
        <w:rPr>
          <w:rFonts w:ascii="Times New Roman" w:cs="Times New Roman" w:eastAsia="Times New Roman" w:hAnsi="Times New Roman"/>
          <w:b/>
          <w:bCs w:val="1"/>
          <w:color w:val="0E7FA8"/>
          <w:sz w:val="30"/>
          <w:szCs w:val="30"/>
          <w:rtl w:val="0"/>
        </w:rPr>
        <w:t xml:space="preserve">2.3 Tracy-Widom Distribution</w:t>
      </w:r>
      <w:r w:rsidDel="00000000" w:rsidR="00000000" w:rsidRPr="00000000">
        <w:rPr>
          <w:b/>
          <w:color w:val="0E7FA8"/>
          <w:rtl w:val="0"/>
        </w:rPr>
      </w:r>
    </w:p>
    <w:p w:rsidR="00000000" w:rsidDel="00000000" w:rsidP="00000000" w:rsidRDefault="00000000" w:rsidRPr="00000000" w14:paraId="0000007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Tracy-Widom distribution characterizes the fluctuations of the largest eigenvalue of a random matrix around the edge of the bulk spectrum. For an N × N matrix from the Gaussian Unitary Ensemble (GUE), the distribution of the rescaled largest eigenvalue converges to the Tracy-Widom distribution F_2 as N → ∞. Specifically, the largest eigenvalue lambda_max fluctuates on the scale N^{-2/3} around the theoretical edge, and the probability of observing a value below s is given by the Tracy-Widom distribution. This result is universal: it depends only on the symmetry class of the matrix (GOE, GUE, GSE for real, complex, and quaternion entries respectively) and not on the specific distribution of matrix entries.</w:t>
      </w:r>
      <w:r w:rsidDel="00000000" w:rsidR="00000000" w:rsidRPr="00000000">
        <w:rPr>
          <w:rtl w:val="0"/>
        </w:rPr>
      </w:r>
    </w:p>
    <w:tbl>
      <w:tblPr>
        <w:tblStyle w:val="Table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B">
            <w:pPr>
              <w:jc w:val="center"/>
              <w:rPr/>
            </w:pPr>
            <w:r w:rsidDel="00000000" w:rsidR="00000000" w:rsidRPr="00000000">
              <w:rPr/>
              <w:drawing>
                <wp:inline distB="0" distT="0" distL="0" distR="0">
                  <wp:extent cx="3619500" cy="71437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619500"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2-4: Tracy-Widom convergence for largest eigenvalue</w:t>
      </w:r>
      <w:r w:rsidDel="00000000" w:rsidR="00000000" w:rsidRPr="00000000">
        <w:rPr>
          <w:rtl w:val="0"/>
        </w:rPr>
      </w:r>
    </w:p>
    <w:p w:rsidR="00000000" w:rsidDel="00000000" w:rsidP="00000000" w:rsidRDefault="00000000" w:rsidRPr="00000000" w14:paraId="000000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LLM activation analysis, the Tracy-Widom distribution provides a rigorous statistical test for the BBP transition. Under the null hypothesis that the activation covariance matrix is pure noise (no structured signal), the rescaled largest eigenvalue should follow the Tracy-Widom distribution. A statistically significant deviation—specifically, a value of lambda_max that exceeds the Tracy-Widom prediction at a given significance level—constitutes formal evidence for the presence of a signal component, i.e., a factual generation mode. The scaling N^{-2/3} is crucial: for N = 768, fluctuations are on the order of 768^{-2/3} ≈ 0.013, meaning that even small deviations from the theoretical edge are highly significant in the statistical sense.</w:t>
      </w:r>
      <w:r w:rsidDel="00000000" w:rsidR="00000000" w:rsidRPr="00000000">
        <w:rPr>
          <w:rtl w:val="0"/>
        </w:rPr>
      </w:r>
    </w:p>
    <w:p w:rsidR="00000000" w:rsidDel="00000000" w:rsidP="00000000" w:rsidRDefault="00000000" w:rsidRPr="00000000" w14:paraId="0000007E">
      <w:pPr>
        <w:pStyle w:val="Heading2"/>
        <w:pBdr>
          <w:left w:color="c9a84c" w:space="10" w:sz="10" w:val="single"/>
        </w:pBdr>
        <w:spacing w:after="180" w:before="360" w:line="360" w:lineRule="auto"/>
        <w:ind w:left="200" w:firstLine="0"/>
        <w:jc w:val="left"/>
        <w:rPr/>
      </w:pPr>
      <w:bookmarkStart w:colFirst="0" w:colLast="0" w:name="_9ew92nfknql6" w:id="10"/>
      <w:bookmarkEnd w:id="10"/>
      <w:r w:rsidDel="00000000" w:rsidR="00000000" w:rsidRPr="00000000">
        <w:rPr>
          <w:rFonts w:ascii="Times New Roman" w:cs="Times New Roman" w:eastAsia="Times New Roman" w:hAnsi="Times New Roman"/>
          <w:b/>
          <w:bCs w:val="1"/>
          <w:color w:val="0E7FA8"/>
          <w:sz w:val="30"/>
          <w:szCs w:val="30"/>
          <w:rtl w:val="0"/>
        </w:rPr>
        <w:t xml:space="preserve">2.4 Spectral Form Factor</w:t>
      </w:r>
      <w:r w:rsidDel="00000000" w:rsidR="00000000" w:rsidRPr="00000000">
        <w:rPr>
          <w:b/>
          <w:color w:val="0E7FA8"/>
          <w:rtl w:val="0"/>
        </w:rPr>
      </w:r>
    </w:p>
    <w:p w:rsidR="00000000" w:rsidDel="00000000" w:rsidP="00000000" w:rsidRDefault="00000000" w:rsidRPr="00000000" w14:paraId="0000007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form factor (SFF) provides a dynamical perspective on eigenvalue correlations by analyzing the two-point correlation function of the eigenvalue spectrum in the time (Fourier) domain. Defined as K(t) = |(1/N) sum_i exp(-i lambda_i t)|^2, the SFF captures the transition from an initial slope regime (dominated by the spectral density) through a dip (signaling the onset of spectral correlations) to a plateau (reflecting the long-range rigidity of the eigenvalue spectrum). For random matrices from the GUE, the SFF follows a universal form: the dip time t_dip ≈ 1/Delta (where Delta is the mean level spacing) and the plateau value K_plateau = 1/N.</w:t>
      </w:r>
      <w:r w:rsidDel="00000000" w:rsidR="00000000" w:rsidRPr="00000000">
        <w:rPr>
          <w:rtl w:val="0"/>
        </w:rPr>
      </w:r>
    </w:p>
    <w:tbl>
      <w:tblPr>
        <w:tblStyle w:val="Table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0">
            <w:pPr>
              <w:jc w:val="center"/>
              <w:rPr/>
            </w:pPr>
            <w:r w:rsidDel="00000000" w:rsidR="00000000" w:rsidRPr="00000000">
              <w:rPr/>
              <w:drawing>
                <wp:inline distB="0" distT="0" distL="0" distR="0">
                  <wp:extent cx="3238500" cy="105727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38500" cy="105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2-5: Spectral form factor definition</w:t>
      </w:r>
      <w:r w:rsidDel="00000000" w:rsidR="00000000" w:rsidRPr="00000000">
        <w:rPr>
          <w:rtl w:val="0"/>
        </w:rPr>
      </w:r>
    </w:p>
    <w:p w:rsidR="00000000" w:rsidDel="00000000" w:rsidP="00000000" w:rsidRDefault="00000000" w:rsidRPr="00000000" w14:paraId="0000008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our LLM application, the SFF provides a sensitive probe of the correlation structure within the eigenvalue spectrum. Factual generation, with its prominent outlier eigenvalue, produces an SFF that exhibits a pronounced early-time peak corresponding to the coherent oscillation driven by the outlier, followed by a delayed dip and an elevated plateau reflecting the compressed bulk spectrum. Creative generation, with its more uniform eigenvalue distribution, yields an SFF that more closely resembles the universal GUE prediction, with a smooth slope-dip-ramp-plateau structure. The comparison of empirical SFF curves with theoretical predictions thus provides a time-domain validation of the spectral differences observed in the eigenvalue density.</w:t>
      </w:r>
      <w:r w:rsidDel="00000000" w:rsidR="00000000" w:rsidRPr="00000000">
        <w:rPr>
          <w:rtl w:val="0"/>
        </w:rPr>
      </w:r>
    </w:p>
    <w:p w:rsidR="00000000" w:rsidDel="00000000" w:rsidP="00000000" w:rsidRDefault="00000000" w:rsidRPr="00000000" w14:paraId="00000083">
      <w:pPr>
        <w:pStyle w:val="Heading2"/>
        <w:pBdr>
          <w:left w:color="c9a84c" w:space="10" w:sz="10" w:val="single"/>
        </w:pBdr>
        <w:spacing w:after="180" w:before="360" w:line="360" w:lineRule="auto"/>
        <w:ind w:left="200" w:firstLine="0"/>
        <w:jc w:val="left"/>
        <w:rPr/>
      </w:pPr>
      <w:bookmarkStart w:colFirst="0" w:colLast="0" w:name="_cjhffrqgfuij" w:id="11"/>
      <w:bookmarkEnd w:id="11"/>
      <w:r w:rsidDel="00000000" w:rsidR="00000000" w:rsidRPr="00000000">
        <w:rPr>
          <w:rFonts w:ascii="Times New Roman" w:cs="Times New Roman" w:eastAsia="Times New Roman" w:hAnsi="Times New Roman"/>
          <w:b/>
          <w:bCs w:val="1"/>
          <w:color w:val="0E7FA8"/>
          <w:sz w:val="30"/>
          <w:szCs w:val="30"/>
          <w:rtl w:val="0"/>
        </w:rPr>
        <w:t xml:space="preserve">2.5 Participation Ratio and Inverse Participation Ratio</w:t>
      </w:r>
      <w:r w:rsidDel="00000000" w:rsidR="00000000" w:rsidRPr="00000000">
        <w:rPr>
          <w:b/>
          <w:color w:val="0E7FA8"/>
          <w:rtl w:val="0"/>
        </w:rPr>
      </w:r>
    </w:p>
    <w:p w:rsidR="00000000" w:rsidDel="00000000" w:rsidP="00000000" w:rsidRDefault="00000000" w:rsidRPr="00000000" w14:paraId="0000008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Participation Ratio (PR) quantifies the effective number of degrees of freedom in a vector or spectrum. For eigenvalues {lambda_i} of the covariance matrix, PR is defined as PR = (sum_i lambda_i)^2 / (sum_i lambda_i^2). A purely uniform spectrum (all eigenvalues equal) yields PR = N, while a spectrum dominated by a single eigenvalue yields PR ≈ 1. The Inverse Participation Ratio (IPR) measures the localization of a specific eigenvector: IPR = sum_i |v(i)|^4, where v is the eigenvector. A delocalized eigenvector (entries of similar magnitude) has IPR ≈ 1/N, while a localized eigenvector (concentrated on a few components) has IPR ≫ 1/N. Together, PR and IPR provide complementary views of the spectral structure: PR characterizes the global spread of the eigenvalue distribution, while IPR characterizes the local structure of individual eigenvectors.</w:t>
      </w:r>
      <w:r w:rsidDel="00000000" w:rsidR="00000000" w:rsidRPr="00000000">
        <w:rPr>
          <w:rtl w:val="0"/>
        </w:rPr>
      </w:r>
    </w:p>
    <w:tbl>
      <w:tblPr>
        <w:tblStyle w:val="Table1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5">
            <w:pPr>
              <w:jc w:val="center"/>
              <w:rPr/>
            </w:pPr>
            <w:r w:rsidDel="00000000" w:rsidR="00000000" w:rsidRPr="00000000">
              <w:rPr/>
              <w:drawing>
                <wp:inline distB="0" distT="0" distL="0" distR="0">
                  <wp:extent cx="3238500" cy="223837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238500" cy="2238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2-6: Participation Ratio</w:t>
      </w:r>
      <w:r w:rsidDel="00000000" w:rsidR="00000000" w:rsidRPr="00000000">
        <w:rPr>
          <w:rtl w:val="0"/>
        </w:rPr>
      </w:r>
    </w:p>
    <w:tbl>
      <w:tblPr>
        <w:tblStyle w:val="Table11"/>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7">
            <w:pPr>
              <w:jc w:val="center"/>
              <w:rPr/>
            </w:pPr>
            <w:r w:rsidDel="00000000" w:rsidR="00000000" w:rsidRPr="00000000">
              <w:rPr/>
              <w:drawing>
                <wp:inline distB="0" distT="0" distL="0" distR="0">
                  <wp:extent cx="2857500" cy="11811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57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2-7: Inverse Participation Ratio</w:t>
      </w:r>
      <w:r w:rsidDel="00000000" w:rsidR="00000000" w:rsidRPr="00000000">
        <w:rPr>
          <w:rtl w:val="0"/>
        </w:rPr>
      </w:r>
    </w:p>
    <w:p w:rsidR="00000000" w:rsidDel="00000000" w:rsidP="00000000" w:rsidRDefault="00000000" w:rsidRPr="00000000" w14:paraId="00000089">
      <w:pPr>
        <w:pStyle w:val="Heading2"/>
        <w:pBdr>
          <w:left w:color="c9a84c" w:space="10" w:sz="10" w:val="single"/>
        </w:pBdr>
        <w:spacing w:after="180" w:before="360" w:line="360" w:lineRule="auto"/>
        <w:ind w:left="200" w:firstLine="0"/>
        <w:jc w:val="left"/>
        <w:rPr/>
      </w:pPr>
      <w:bookmarkStart w:colFirst="0" w:colLast="0" w:name="_zhc2zvl8s00w" w:id="12"/>
      <w:bookmarkEnd w:id="12"/>
      <w:r w:rsidDel="00000000" w:rsidR="00000000" w:rsidRPr="00000000">
        <w:rPr>
          <w:rFonts w:ascii="Times New Roman" w:cs="Times New Roman" w:eastAsia="Times New Roman" w:hAnsi="Times New Roman"/>
          <w:b/>
          <w:bCs w:val="1"/>
          <w:color w:val="0E7FA8"/>
          <w:sz w:val="30"/>
          <w:szCs w:val="30"/>
          <w:rtl w:val="0"/>
        </w:rPr>
        <w:t xml:space="preserve">2.6 Spacing Ratio Distribution</w:t>
      </w:r>
      <w:r w:rsidDel="00000000" w:rsidR="00000000" w:rsidRPr="00000000">
        <w:rPr>
          <w:b/>
          <w:color w:val="0E7FA8"/>
          <w:rtl w:val="0"/>
        </w:rPr>
      </w:r>
    </w:p>
    <w:p w:rsidR="00000000" w:rsidDel="00000000" w:rsidP="00000000" w:rsidRDefault="00000000" w:rsidRPr="00000000" w14:paraId="0000008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model-independent test for universal level statistics that avoids the need for spectral unfolding. For an ordered sequence of eigenvalues lambda_1 &lt; lambda_2 &lt; ... &lt; lambda_N, the spacing ratio is defined as r_n = min(delta_n, delta_{n-1}) / max(delta_n, delta_{n-1}), where delta_n = lambda_{n+1} - lambda_n. The distribution of r_n has known universal forms: for Poisson statistics (uncorrelated levels), p(r) = 2/(1+r)^2; for GUE statistics (correlated levels), p(r) = (27/4)(r + r^2)/(1 + r + r^2)^{5/2}. The advantage of the spacing ratio over the traditional nearest-neighbor spacing distribution is that it does not require the delicate unfolding procedure, making it more robust for finite-size systems such as LLM activation matrices.</w:t>
      </w:r>
      <w:r w:rsidDel="00000000" w:rsidR="00000000" w:rsidRPr="00000000">
        <w:rPr>
          <w:rtl w:val="0"/>
        </w:rPr>
      </w:r>
    </w:p>
    <w:tbl>
      <w:tblPr>
        <w:tblStyle w:val="Table1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B">
            <w:pPr>
              <w:jc w:val="center"/>
              <w:rPr/>
            </w:pPr>
            <w:r w:rsidDel="00000000" w:rsidR="00000000" w:rsidRPr="00000000">
              <w:rPr/>
              <w:drawing>
                <wp:inline distB="0" distT="0" distL="0" distR="0">
                  <wp:extent cx="3619500" cy="504825"/>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619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2-8: Spacing ratio definition</w:t>
      </w:r>
      <w:r w:rsidDel="00000000" w:rsidR="00000000" w:rsidRPr="00000000">
        <w:rPr>
          <w:rtl w:val="0"/>
        </w:rPr>
      </w:r>
    </w:p>
    <w:p w:rsidR="00000000" w:rsidDel="00000000" w:rsidP="00000000" w:rsidRDefault="00000000" w:rsidRPr="00000000" w14:paraId="0000008D">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2-1: Universal Spacing Ratio Distributions</w:t>
      </w:r>
      <w:r w:rsidDel="00000000" w:rsidR="00000000" w:rsidRPr="00000000">
        <w:rPr>
          <w:rtl w:val="0"/>
        </w:rPr>
      </w:r>
    </w:p>
    <w:tbl>
      <w:tblPr>
        <w:tblStyle w:val="Table1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450"/>
        <w:gridCol w:w="3465"/>
        <w:tblGridChange w:id="0">
          <w:tblGrid>
            <w:gridCol w:w="1875"/>
            <w:gridCol w:w="3450"/>
            <w:gridCol w:w="3465"/>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Symmetry Class</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Spacing Ratio p(r)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Physical Interpretation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color w:val="1a1a14"/>
                <w:sz w:val="20"/>
                <w:szCs w:val="20"/>
                <w:rtl w:val="0"/>
              </w:rPr>
              <w:t xml:space="preserve">Poisson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color w:val="1a1a14"/>
                <w:sz w:val="20"/>
                <w:szCs w:val="20"/>
                <w:rtl w:val="0"/>
              </w:rPr>
              <w:t xml:space="preserve">2/(1+r)^2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1a1a14"/>
                <w:sz w:val="20"/>
                <w:szCs w:val="20"/>
                <w:rtl w:val="0"/>
              </w:rPr>
              <w:t xml:space="preserve">Uncorrelated levels, integrable system</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1a1a14"/>
                <w:sz w:val="20"/>
                <w:szCs w:val="20"/>
                <w:rtl w:val="0"/>
              </w:rPr>
              <w:t xml:space="preserve">GOE (beta=1)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color w:val="1a1a14"/>
                <w:sz w:val="20"/>
                <w:szCs w:val="20"/>
                <w:rtl w:val="0"/>
              </w:rPr>
              <w:t xml:space="preserve">Numerical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1a1a14"/>
                <w:sz w:val="20"/>
                <w:szCs w:val="20"/>
                <w:rtl w:val="0"/>
              </w:rPr>
              <w:t xml:space="preserve">Time-reversal symmetric, real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color w:val="1a1a14"/>
                <w:sz w:val="20"/>
                <w:szCs w:val="20"/>
                <w:rtl w:val="0"/>
              </w:rPr>
              <w:t xml:space="preserve">GUE (beta=2)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color w:val="1a1a14"/>
                <w:sz w:val="20"/>
                <w:szCs w:val="20"/>
                <w:rtl w:val="0"/>
              </w:rPr>
              <w:t xml:space="preserve">(27/4)(r+r^2)/(1+r+r^2)^{5/2}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color w:val="1a1a14"/>
                <w:sz w:val="20"/>
                <w:szCs w:val="20"/>
                <w:rtl w:val="0"/>
              </w:rPr>
              <w:t xml:space="preserve">No time-reversal, complex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color w:val="1a1a14"/>
                <w:sz w:val="20"/>
                <w:szCs w:val="20"/>
                <w:rtl w:val="0"/>
              </w:rPr>
              <w:t xml:space="preserve">Wishart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color w:val="1a1a14"/>
                <w:sz w:val="20"/>
                <w:szCs w:val="20"/>
                <w:rtl w:val="0"/>
              </w:rPr>
              <w:t xml:space="preserve">Modified GUE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color w:val="1a1a14"/>
                <w:sz w:val="20"/>
                <w:szCs w:val="20"/>
                <w:rtl w:val="0"/>
              </w:rPr>
              <w:t xml:space="preserve">Sample covariance, product matrices</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9F">
      <w:pPr>
        <w:pStyle w:val="Heading1"/>
        <w:pBdr>
          <w:bottom w:color="c9a84c" w:space="8" w:sz="4" w:val="single"/>
        </w:pBdr>
        <w:spacing w:after="240" w:before="480" w:line="400" w:lineRule="auto"/>
        <w:jc w:val="left"/>
        <w:rPr/>
      </w:pPr>
      <w:bookmarkStart w:colFirst="0" w:colLast="0" w:name="_7pz0d9ib6mw5" w:id="13"/>
      <w:bookmarkEnd w:id="13"/>
      <w:r w:rsidDel="00000000" w:rsidR="00000000" w:rsidRPr="00000000">
        <w:rPr>
          <w:rFonts w:ascii="Times New Roman" w:cs="Times New Roman" w:eastAsia="Times New Roman" w:hAnsi="Times New Roman"/>
          <w:b/>
          <w:bCs w:val="1"/>
          <w:color w:val="0A9B72"/>
          <w:sz w:val="36"/>
          <w:szCs w:val="36"/>
          <w:rtl w:val="0"/>
        </w:rPr>
        <w:t xml:space="preserve">3. Methodology</w:t>
      </w:r>
      <w:r w:rsidDel="00000000" w:rsidR="00000000" w:rsidRPr="00000000">
        <w:rPr>
          <w:b/>
          <w:color w:val="0A9B72"/>
          <w:rtl w:val="0"/>
        </w:rPr>
      </w:r>
    </w:p>
    <w:p w:rsidR="00000000" w:rsidDel="00000000" w:rsidP="00000000" w:rsidRDefault="00000000" w:rsidRPr="00000000" w14:paraId="000000A0">
      <w:pPr>
        <w:pStyle w:val="Heading2"/>
        <w:pBdr>
          <w:left w:color="c9a84c" w:space="10" w:sz="10" w:val="single"/>
        </w:pBdr>
        <w:spacing w:after="180" w:before="360" w:line="360" w:lineRule="auto"/>
        <w:ind w:left="200" w:firstLine="0"/>
        <w:jc w:val="left"/>
        <w:rPr/>
      </w:pPr>
      <w:bookmarkStart w:colFirst="0" w:colLast="0" w:name="_cyoalgte2b9f" w:id="14"/>
      <w:bookmarkEnd w:id="14"/>
      <w:r w:rsidDel="00000000" w:rsidR="00000000" w:rsidRPr="00000000">
        <w:rPr>
          <w:rFonts w:ascii="Times New Roman" w:cs="Times New Roman" w:eastAsia="Times New Roman" w:hAnsi="Times New Roman"/>
          <w:b/>
          <w:bCs w:val="1"/>
          <w:color w:val="0E7FA8"/>
          <w:sz w:val="30"/>
          <w:szCs w:val="30"/>
          <w:rtl w:val="0"/>
        </w:rPr>
        <w:t xml:space="preserve">3.1 Model and Activation Extraction</w:t>
      </w:r>
      <w:r w:rsidDel="00000000" w:rsidR="00000000" w:rsidRPr="00000000">
        <w:rPr>
          <w:b/>
          <w:color w:val="0E7FA8"/>
          <w:rtl w:val="0"/>
        </w:rPr>
      </w:r>
    </w:p>
    <w:p w:rsidR="00000000" w:rsidDel="00000000" w:rsidP="00000000" w:rsidRDefault="00000000" w:rsidRPr="00000000" w14:paraId="000000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employ GPT-2 (124M parameters) as our primary model, chosen for its widespread availability, well-documented architecture, and representative transformer structure. GPT-2 consists of 12 transformer layers, each containing a multi-head self-attention mechanism (12 heads, 64 dimensions each) followed by a position-wise feed-forward network (768 → 3072 → 768). We extract hidden-state activations from all 12 layers during forward passes on carefully designed prompts, capturing the residual stream representations that serve as the primary information pathway through the model. The activation tensor at each layer has shape (T, N) where T is the sequence length and N = 768 is the hidden dimension.</w:t>
      </w:r>
      <w:r w:rsidDel="00000000" w:rsidR="00000000" w:rsidRPr="00000000">
        <w:rPr>
          <w:rtl w:val="0"/>
        </w:rPr>
      </w:r>
    </w:p>
    <w:p w:rsidR="00000000" w:rsidDel="00000000" w:rsidP="00000000" w:rsidRDefault="00000000" w:rsidRPr="00000000" w14:paraId="000000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activation extraction procedure is as follows. For each prompt, we perform a forward pass through GPT-2 and record the hidden state at the output of each transformer layer. We focus on the last token position (autoregressive generation context) and aggregate across multiple prompts to form the data matrix X ∈ R^{T×N}, where T represents the number of prompts and N the hidden dimension. The covariance matrix C = (1/T) X^T X is then computed, and its eigenvalue spectrum is analyzed using the full suite of RMT tools described in Section 2. We compute all spectral metrics both for individual layers and for the combined activation matrix, enabling cross-layer comparison and layer-wise spectral profiling.</w:t>
      </w:r>
      <w:r w:rsidDel="00000000" w:rsidR="00000000" w:rsidRPr="00000000">
        <w:rPr>
          <w:rtl w:val="0"/>
        </w:rPr>
      </w:r>
    </w:p>
    <w:p w:rsidR="00000000" w:rsidDel="00000000" w:rsidP="00000000" w:rsidRDefault="00000000" w:rsidRPr="00000000" w14:paraId="000000A3">
      <w:pPr>
        <w:pStyle w:val="Heading2"/>
        <w:pBdr>
          <w:left w:color="c9a84c" w:space="10" w:sz="10" w:val="single"/>
        </w:pBdr>
        <w:spacing w:after="180" w:before="360" w:line="360" w:lineRule="auto"/>
        <w:ind w:left="200" w:firstLine="0"/>
        <w:jc w:val="left"/>
        <w:rPr/>
      </w:pPr>
      <w:bookmarkStart w:colFirst="0" w:colLast="0" w:name="_sn9qdzkb28ye" w:id="15"/>
      <w:bookmarkEnd w:id="15"/>
      <w:r w:rsidDel="00000000" w:rsidR="00000000" w:rsidRPr="00000000">
        <w:rPr>
          <w:rFonts w:ascii="Times New Roman" w:cs="Times New Roman" w:eastAsia="Times New Roman" w:hAnsi="Times New Roman"/>
          <w:b/>
          <w:bCs w:val="1"/>
          <w:color w:val="0E7FA8"/>
          <w:sz w:val="30"/>
          <w:szCs w:val="30"/>
          <w:rtl w:val="0"/>
        </w:rPr>
        <w:t xml:space="preserve">3.2 Prompt Design: Factual vs. Creative</w:t>
      </w:r>
      <w:r w:rsidDel="00000000" w:rsidR="00000000" w:rsidRPr="00000000">
        <w:rPr>
          <w:b/>
          <w:color w:val="0E7FA8"/>
          <w:rtl w:val="0"/>
        </w:rPr>
      </w:r>
    </w:p>
    <w:p w:rsidR="00000000" w:rsidDel="00000000" w:rsidP="00000000" w:rsidRDefault="00000000" w:rsidRPr="00000000" w14:paraId="000000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To systematically probe the spectral differences between factual and creative generation modes, we design two complementary prompt sets. The factual prompt set consists of 200 prompts designed to elicit deterministic, knowledge-based responses: capital cities, mathematical facts, historical dates, scientific definitions, and other well-defined factual content. Examples include “The capital of France is”, “2 + 2 equals”, and “Water freezes at”. The creative prompt set consists of 200 prompts designed to encourage open-ended, imaginative generation: story continuations, poetry prompts, hypothetical scenarios, and abstract concept associations. Examples include “Once upon a time in a distant galaxy”, “The meaning of beauty is”, and “If clouds could speak”. Each prompt set is carefully balanced for length (mean 15 tokens, range 5-30) to control for potential confounds.</w:t>
      </w:r>
      <w:r w:rsidDel="00000000" w:rsidR="00000000" w:rsidRPr="00000000">
        <w:rPr>
          <w:rtl w:val="0"/>
        </w:rPr>
      </w:r>
    </w:p>
    <w:p w:rsidR="00000000" w:rsidDel="00000000" w:rsidP="00000000" w:rsidRDefault="00000000" w:rsidRPr="00000000" w14:paraId="000000A5">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3-1: Prompt Dataset Statistics</w:t>
      </w:r>
      <w:r w:rsidDel="00000000" w:rsidR="00000000" w:rsidRPr="00000000">
        <w:rPr>
          <w:rtl w:val="0"/>
        </w:rPr>
      </w:r>
    </w:p>
    <w:tbl>
      <w:tblPr>
        <w:tblStyle w:val="Table1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45"/>
        <w:gridCol w:w="2085"/>
        <w:gridCol w:w="2970"/>
        <w:tblGridChange w:id="0">
          <w:tblGrid>
            <w:gridCol w:w="1890"/>
            <w:gridCol w:w="1845"/>
            <w:gridCol w:w="2085"/>
            <w:gridCol w:w="297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Prompt Type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Count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Mean Length</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Example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color w:val="1a1a14"/>
                <w:sz w:val="20"/>
                <w:szCs w:val="20"/>
                <w:rtl w:val="0"/>
              </w:rPr>
              <w:t xml:space="preserve">Factual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color w:val="1a1a14"/>
                <w:sz w:val="20"/>
                <w:szCs w:val="20"/>
                <w:rtl w:val="0"/>
              </w:rPr>
              <w:t xml:space="preserve">14.2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color w:val="1a1a14"/>
                <w:sz w:val="20"/>
                <w:szCs w:val="20"/>
                <w:rtl w:val="0"/>
              </w:rPr>
              <w:t xml:space="preserve">The capital of Japan is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color w:val="1a1a14"/>
                <w:sz w:val="20"/>
                <w:szCs w:val="20"/>
                <w:rtl w:val="0"/>
              </w:rPr>
              <w:t xml:space="preserve">Creative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color w:val="1a1a14"/>
                <w:sz w:val="20"/>
                <w:szCs w:val="20"/>
                <w:rtl w:val="0"/>
              </w:rPr>
              <w:t xml:space="preserve">15.8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color w:val="1a1a14"/>
                <w:sz w:val="20"/>
                <w:szCs w:val="20"/>
                <w:rtl w:val="0"/>
              </w:rPr>
              <w:t xml:space="preserve">In a world where dreams come alive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color w:val="1a1a14"/>
                <w:sz w:val="20"/>
                <w:szCs w:val="20"/>
                <w:rtl w:val="0"/>
              </w:rPr>
              <w:t xml:space="preserve">Hybrid</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color w:val="1a1a14"/>
                <w:sz w:val="20"/>
                <w:szCs w:val="20"/>
                <w:rtl w:val="0"/>
              </w:rPr>
              <w:t xml:space="preserve">50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color w:val="1a1a14"/>
                <w:sz w:val="20"/>
                <w:szCs w:val="20"/>
                <w:rtl w:val="0"/>
              </w:rPr>
              <w:t xml:space="preserve">12.5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color w:val="1a1a14"/>
                <w:sz w:val="20"/>
                <w:szCs w:val="20"/>
                <w:rtl w:val="0"/>
              </w:rPr>
              <w:t xml:space="preserve">The scientific name for this phenomenon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color w:val="1a1a14"/>
                <w:sz w:val="20"/>
                <w:szCs w:val="20"/>
                <w:rtl w:val="0"/>
              </w:rPr>
              <w:t xml:space="preserve">Random Baseline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color w:val="1a1a14"/>
                <w:sz w:val="20"/>
                <w:szCs w:val="20"/>
                <w:rtl w:val="0"/>
              </w:rPr>
              <w:t xml:space="preserve">15.0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color w:val="1a1a14"/>
                <w:sz w:val="20"/>
                <w:szCs w:val="20"/>
                <w:rtl w:val="0"/>
              </w:rPr>
              <w:t xml:space="preserve">Gibberish token sequences</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Style w:val="Heading2"/>
        <w:pBdr>
          <w:left w:color="c9a84c" w:space="10" w:sz="10" w:val="single"/>
        </w:pBdr>
        <w:spacing w:after="180" w:before="360" w:line="360" w:lineRule="auto"/>
        <w:ind w:left="200" w:firstLine="0"/>
        <w:jc w:val="left"/>
        <w:rPr/>
      </w:pPr>
      <w:bookmarkStart w:colFirst="0" w:colLast="0" w:name="_fo66q2waojwn" w:id="16"/>
      <w:bookmarkEnd w:id="16"/>
      <w:r w:rsidDel="00000000" w:rsidR="00000000" w:rsidRPr="00000000">
        <w:rPr>
          <w:rFonts w:ascii="Times New Roman" w:cs="Times New Roman" w:eastAsia="Times New Roman" w:hAnsi="Times New Roman"/>
          <w:b/>
          <w:bCs w:val="1"/>
          <w:color w:val="0E7FA8"/>
          <w:sz w:val="30"/>
          <w:szCs w:val="30"/>
          <w:rtl w:val="0"/>
        </w:rPr>
        <w:t xml:space="preserve">3.3 Spectral Analysis Pipeline</w:t>
      </w:r>
      <w:r w:rsidDel="00000000" w:rsidR="00000000" w:rsidRPr="00000000">
        <w:rPr>
          <w:b/>
          <w:color w:val="0E7FA8"/>
          <w:rtl w:val="0"/>
        </w:rPr>
      </w:r>
    </w:p>
    <w:p w:rsidR="00000000" w:rsidDel="00000000" w:rsidP="00000000" w:rsidRDefault="00000000" w:rsidRPr="00000000" w14:paraId="000000B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spectral analysis pipeline implements the complete suite of RMT metrics described in Section 2. The pipeline begins with the construction of the covariance matrix C = (1/T) X^T X from the activation matrix X, followed by full eigendecomposition using the divide-and-conquer algorithm for symmetric positive semi-definite matrices. We then compute the following metrics: (1) Eigenvalue density with MP overlay, providing visual confirmation of bulk versus outlier structure; (2) Participation Ratio (PR) as a global measure of spectral concentration; (3) Signal-to-Noise Ratio (SNR) = lambda_1 / (mean of remaining eigenvalues) as a direct measure of signal strength; (4) Spectral entropy S_spec = -sum_i lambda_tilde_i log(lambda_tilde_i) measuring the information-theoretic uncertainty in the spectral distribution; (5) IPR of the top eigenvector quantifying localization; (6) Spacing ratio distribution testing for universal level statistics; (7) Spectral form factor K(t) probing temporal correlations; (8) Tracy-Widom statistic testing for BBP transition significance. All computations are performed using NumPy and SciPy with double-precision arithmetic.</w:t>
      </w:r>
      <w:r w:rsidDel="00000000" w:rsidR="00000000" w:rsidRPr="00000000">
        <w:rPr>
          <w:rtl w:val="0"/>
        </w:rPr>
      </w:r>
    </w:p>
    <w:tbl>
      <w:tblPr>
        <w:tblStyle w:val="Table1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D">
            <w:pPr>
              <w:jc w:val="center"/>
              <w:rPr/>
            </w:pPr>
            <w:r w:rsidDel="00000000" w:rsidR="00000000" w:rsidRPr="00000000">
              <w:rPr/>
              <w:drawing>
                <wp:inline distB="0" distT="0" distL="0" distR="0">
                  <wp:extent cx="3238500" cy="165735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238500" cy="1657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3-1: Signal-to-Noise Ratio</w:t>
      </w:r>
      <w:r w:rsidDel="00000000" w:rsidR="00000000" w:rsidRPr="00000000">
        <w:rPr>
          <w:rtl w:val="0"/>
        </w:rPr>
      </w:r>
    </w:p>
    <w:tbl>
      <w:tblPr>
        <w:tblStyle w:val="Table16"/>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F">
            <w:pPr>
              <w:jc w:val="center"/>
              <w:rPr/>
            </w:pPr>
            <w:r w:rsidDel="00000000" w:rsidR="00000000" w:rsidRPr="00000000">
              <w:rPr/>
              <w:drawing>
                <wp:inline distB="0" distT="0" distL="0" distR="0">
                  <wp:extent cx="3619500" cy="762000"/>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619500"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3-2: Spectral Entropy</w:t>
      </w:r>
      <w:r w:rsidDel="00000000" w:rsidR="00000000" w:rsidRPr="00000000">
        <w:rPr>
          <w:rtl w:val="0"/>
        </w:rPr>
      </w:r>
    </w:p>
    <w:p w:rsidR="00000000" w:rsidDel="00000000" w:rsidP="00000000" w:rsidRDefault="00000000" w:rsidRPr="00000000" w14:paraId="000000C1">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C2">
      <w:pPr>
        <w:pStyle w:val="Heading1"/>
        <w:pBdr>
          <w:bottom w:color="c9a84c" w:space="8" w:sz="4" w:val="single"/>
        </w:pBdr>
        <w:spacing w:after="240" w:before="480" w:line="400" w:lineRule="auto"/>
        <w:jc w:val="left"/>
        <w:rPr/>
      </w:pPr>
      <w:bookmarkStart w:colFirst="0" w:colLast="0" w:name="_agb30sn07pml" w:id="17"/>
      <w:bookmarkEnd w:id="17"/>
      <w:r w:rsidDel="00000000" w:rsidR="00000000" w:rsidRPr="00000000">
        <w:rPr>
          <w:rFonts w:ascii="Times New Roman" w:cs="Times New Roman" w:eastAsia="Times New Roman" w:hAnsi="Times New Roman"/>
          <w:b/>
          <w:bCs w:val="1"/>
          <w:color w:val="0A9B72"/>
          <w:sz w:val="36"/>
          <w:szCs w:val="36"/>
          <w:rtl w:val="0"/>
        </w:rPr>
        <w:t xml:space="preserve">4. Core Experimental Results</w:t>
      </w:r>
      <w:r w:rsidDel="00000000" w:rsidR="00000000" w:rsidRPr="00000000">
        <w:rPr>
          <w:b/>
          <w:color w:val="0A9B72"/>
          <w:rtl w:val="0"/>
        </w:rPr>
      </w:r>
    </w:p>
    <w:p w:rsidR="00000000" w:rsidDel="00000000" w:rsidP="00000000" w:rsidRDefault="00000000" w:rsidRPr="00000000" w14:paraId="000000C3">
      <w:pPr>
        <w:pStyle w:val="Heading2"/>
        <w:pBdr>
          <w:left w:color="c9a84c" w:space="10" w:sz="10" w:val="single"/>
        </w:pBdr>
        <w:spacing w:after="180" w:before="360" w:line="360" w:lineRule="auto"/>
        <w:ind w:left="200" w:firstLine="0"/>
        <w:jc w:val="left"/>
        <w:rPr/>
      </w:pPr>
      <w:bookmarkStart w:colFirst="0" w:colLast="0" w:name="_66nsz9ljbail" w:id="18"/>
      <w:bookmarkEnd w:id="18"/>
      <w:r w:rsidDel="00000000" w:rsidR="00000000" w:rsidRPr="00000000">
        <w:rPr>
          <w:rFonts w:ascii="Times New Roman" w:cs="Times New Roman" w:eastAsia="Times New Roman" w:hAnsi="Times New Roman"/>
          <w:b/>
          <w:bCs w:val="1"/>
          <w:color w:val="0E7FA8"/>
          <w:sz w:val="30"/>
          <w:szCs w:val="30"/>
          <w:rtl w:val="0"/>
        </w:rPr>
        <w:t xml:space="preserve">4.1 Eigenvalue Density: Factual vs. Creative</w:t>
      </w:r>
      <w:r w:rsidDel="00000000" w:rsidR="00000000" w:rsidRPr="00000000">
        <w:rPr>
          <w:b/>
          <w:color w:val="0E7FA8"/>
          <w:rtl w:val="0"/>
        </w:rPr>
      </w:r>
    </w:p>
    <w:p w:rsidR="00000000" w:rsidDel="00000000" w:rsidP="00000000" w:rsidRDefault="00000000" w:rsidRPr="00000000" w14:paraId="000000C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most striking result of our analysis is the dramatic difference in eigenvalue density between factual and creative generation modes. Figure 4-1 shows the empirical eigenvalue density histograms for both prompt types, overlaid with the theoretical Marchenko-Pastur density. For factual prompts, the covariance matrix exhibits a clear outlier eigenvalue well above the MP upper bound lambda_+, with a ratio lambda_max/lambda_+ ranging from 3.5 to 12.2 across different layers. The bulk eigenvalues closely follow the MP prediction, confirming that the remaining spectral weight is consistent with random noise. For creative prompts, the entire eigenvalue spectrum falls within the MP support, with lambda_max/lambda_+ consistently below 1.5, indicating that no single direction in the activation space carries significantly more variance than expected from random fluctuations.</w:t>
      </w:r>
      <w:r w:rsidDel="00000000" w:rsidR="00000000" w:rsidRPr="00000000">
        <w:rPr>
          <w:rtl w:val="0"/>
        </w:rPr>
      </w:r>
    </w:p>
    <w:p w:rsidR="00000000" w:rsidDel="00000000" w:rsidP="00000000" w:rsidRDefault="00000000" w:rsidRPr="00000000" w14:paraId="000000C5">
      <w:pPr>
        <w:spacing w:after="100" w:before="200" w:lineRule="auto"/>
        <w:jc w:val="center"/>
        <w:rPr/>
      </w:pPr>
      <w:r w:rsidDel="00000000" w:rsidR="00000000" w:rsidRPr="00000000">
        <w:rPr/>
        <w:drawing>
          <wp:inline distB="0" distT="0" distL="0" distR="0">
            <wp:extent cx="4381500" cy="2828925"/>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381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4-1: Eigenvalue density comparison with Marchenko-Pastur overlay</w:t>
      </w:r>
      <w:r w:rsidDel="00000000" w:rsidR="00000000" w:rsidRPr="00000000">
        <w:rPr>
          <w:rtl w:val="0"/>
        </w:rPr>
      </w:r>
    </w:p>
    <w:p w:rsidR="00000000" w:rsidDel="00000000" w:rsidP="00000000" w:rsidRDefault="00000000" w:rsidRPr="00000000" w14:paraId="000000C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result provides direct evidence for the BBP phase transition in LLM activations: factual generation corresponds to the super-critical regime (sigma &gt; sigma_c) where a structured signal component pushes the largest eigenvalue above the theoretical bound, while creative generation corresponds to the sub-critical regime where no individual signal component is strong enough to escape the bulk. The sharpness of this transition—with lambda_max/lambda_+ varying by a factor of 3-8 between factual and creative prompts—suggests that the spectral signature is a robust and easily detectable indicator of generation mode.</w:t>
      </w:r>
      <w:r w:rsidDel="00000000" w:rsidR="00000000" w:rsidRPr="00000000">
        <w:rPr>
          <w:rtl w:val="0"/>
        </w:rPr>
      </w:r>
    </w:p>
    <w:p w:rsidR="00000000" w:rsidDel="00000000" w:rsidP="00000000" w:rsidRDefault="00000000" w:rsidRPr="00000000" w14:paraId="000000C8">
      <w:pPr>
        <w:pStyle w:val="Heading2"/>
        <w:pBdr>
          <w:left w:color="c9a84c" w:space="10" w:sz="10" w:val="single"/>
        </w:pBdr>
        <w:spacing w:after="180" w:before="360" w:line="360" w:lineRule="auto"/>
        <w:ind w:left="200" w:firstLine="0"/>
        <w:jc w:val="left"/>
        <w:rPr/>
      </w:pPr>
      <w:bookmarkStart w:colFirst="0" w:colLast="0" w:name="_ars43gk6g55e" w:id="19"/>
      <w:bookmarkEnd w:id="19"/>
      <w:r w:rsidDel="00000000" w:rsidR="00000000" w:rsidRPr="00000000">
        <w:rPr>
          <w:rFonts w:ascii="Times New Roman" w:cs="Times New Roman" w:eastAsia="Times New Roman" w:hAnsi="Times New Roman"/>
          <w:b/>
          <w:bCs w:val="1"/>
          <w:color w:val="0E7FA8"/>
          <w:sz w:val="30"/>
          <w:szCs w:val="30"/>
          <w:rtl w:val="0"/>
        </w:rPr>
        <w:t xml:space="preserve">4.2 Scree Plot Analysis</w:t>
      </w:r>
      <w:r w:rsidDel="00000000" w:rsidR="00000000" w:rsidRPr="00000000">
        <w:rPr>
          <w:b/>
          <w:color w:val="0E7FA8"/>
          <w:rtl w:val="0"/>
        </w:rPr>
      </w:r>
    </w:p>
    <w:p w:rsidR="00000000" w:rsidDel="00000000" w:rsidP="00000000" w:rsidRDefault="00000000" w:rsidRPr="00000000" w14:paraId="000000C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scree plot (eigenvalue magnitude vs. index) provides a complementary view of the spectral structure. Figure 4-2 shows the top 50 eigenvalues on a log scale for both factual and creative prompts. The factual curve exhibits a characteristic “elbow” at index 1-3, with the first eigenvalue 2-3 orders of magnitude larger than the second, followed by a gradual exponential decay. This elbow structure is the hallmark of a low-rank signal plus noise model, where the first few eigenvalues correspond to signal directions and the remaining eigenvalues form the noise floor. The creative curve, by contrast, shows a smooth, nearly power-law decay with no discernible elbow, consistent with a more distributed, high-rank representation.</w:t>
      </w:r>
      <w:r w:rsidDel="00000000" w:rsidR="00000000" w:rsidRPr="00000000">
        <w:rPr>
          <w:rtl w:val="0"/>
        </w:rPr>
      </w:r>
    </w:p>
    <w:p w:rsidR="00000000" w:rsidDel="00000000" w:rsidP="00000000" w:rsidRDefault="00000000" w:rsidRPr="00000000" w14:paraId="000000CA">
      <w:pPr>
        <w:spacing w:after="100" w:before="200" w:lineRule="auto"/>
        <w:jc w:val="center"/>
        <w:rPr/>
      </w:pPr>
      <w:r w:rsidDel="00000000" w:rsidR="00000000" w:rsidRPr="00000000">
        <w:rPr/>
        <w:drawing>
          <wp:inline distB="0" distT="0" distL="0" distR="0">
            <wp:extent cx="4381500" cy="28765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81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4-2: Scree plot comparison of eigenvalue magnitudes</w:t>
      </w:r>
      <w:r w:rsidDel="00000000" w:rsidR="00000000" w:rsidRPr="00000000">
        <w:rPr>
          <w:rtl w:val="0"/>
        </w:rPr>
      </w:r>
    </w:p>
    <w:p w:rsidR="00000000" w:rsidDel="00000000" w:rsidP="00000000" w:rsidRDefault="00000000" w:rsidRPr="00000000" w14:paraId="000000C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quantitative difference is dramatic: for factual prompts at layer 8, the first eigenvalue accounts for 42.3% of total spectral weight, while for creative prompts the corresponding figure is only 3.7%. This 11-fold difference in spectral concentration directly reflects the degree to which the model's activation space is organized around a single dominant direction (factual) versus distributed across many directions (creative). The scree analysis also reveals that the “effective rank” of the factual activation matrix is approximately 3-5, while the creative activation matrix has an effective rank of 50-100, confirming the PR measurements presented below.</w:t>
      </w:r>
      <w:r w:rsidDel="00000000" w:rsidR="00000000" w:rsidRPr="00000000">
        <w:rPr>
          <w:rtl w:val="0"/>
        </w:rPr>
      </w:r>
    </w:p>
    <w:p w:rsidR="00000000" w:rsidDel="00000000" w:rsidP="00000000" w:rsidRDefault="00000000" w:rsidRPr="00000000" w14:paraId="000000CD">
      <w:pPr>
        <w:pStyle w:val="Heading2"/>
        <w:pBdr>
          <w:left w:color="c9a84c" w:space="10" w:sz="10" w:val="single"/>
        </w:pBdr>
        <w:spacing w:after="180" w:before="360" w:line="360" w:lineRule="auto"/>
        <w:ind w:left="200" w:firstLine="0"/>
        <w:jc w:val="left"/>
        <w:rPr/>
      </w:pPr>
      <w:bookmarkStart w:colFirst="0" w:colLast="0" w:name="_i7wsoq28yzyo" w:id="20"/>
      <w:bookmarkEnd w:id="20"/>
      <w:r w:rsidDel="00000000" w:rsidR="00000000" w:rsidRPr="00000000">
        <w:rPr>
          <w:rFonts w:ascii="Times New Roman" w:cs="Times New Roman" w:eastAsia="Times New Roman" w:hAnsi="Times New Roman"/>
          <w:b/>
          <w:bCs w:val="1"/>
          <w:color w:val="0E7FA8"/>
          <w:sz w:val="30"/>
          <w:szCs w:val="30"/>
          <w:rtl w:val="0"/>
        </w:rPr>
        <w:t xml:space="preserve">4.3 Participation Ratio Comparison</w:t>
      </w:r>
      <w:r w:rsidDel="00000000" w:rsidR="00000000" w:rsidRPr="00000000">
        <w:rPr>
          <w:b/>
          <w:color w:val="0E7FA8"/>
          <w:rtl w:val="0"/>
        </w:rPr>
      </w:r>
    </w:p>
    <w:p w:rsidR="00000000" w:rsidDel="00000000" w:rsidP="00000000" w:rsidRDefault="00000000" w:rsidRPr="00000000" w14:paraId="000000C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Participation Ratio provides a single scalar measure of the effective dimensionality of the activation space. Figure 4-3 summarizes the PR values across all 12 GPT-2 layers for both factual and creative prompts. For factual prompts, PR decreases monotonically from layer 1 (PR ≈ 22.5) to layer 12 (PR ≈ 1.8), indicating a progressive concentration of spectral weight into fewer dimensions as information flows through the network. This behavior is consistent with the model learning to extract and amplify task-relevant signals, progressively reducing the dimensionality of the representation. For creative prompts, PR remains relatively high across all layers (PR ≈ 11-22), indicating a consistently distributed representation that preserves high-dimensional variability.</w:t>
      </w:r>
      <w:r w:rsidDel="00000000" w:rsidR="00000000" w:rsidRPr="00000000">
        <w:rPr>
          <w:rtl w:val="0"/>
        </w:rPr>
      </w:r>
    </w:p>
    <w:p w:rsidR="00000000" w:rsidDel="00000000" w:rsidP="00000000" w:rsidRDefault="00000000" w:rsidRPr="00000000" w14:paraId="000000CF">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4-1: PR and SNR Across GPT-2 Layers</w:t>
      </w:r>
      <w:r w:rsidDel="00000000" w:rsidR="00000000" w:rsidRPr="00000000">
        <w:rPr>
          <w:rtl w:val="0"/>
        </w:rPr>
      </w:r>
    </w:p>
    <w:tbl>
      <w:tblPr>
        <w:tblStyle w:val="Table17"/>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500"/>
        <w:gridCol w:w="1545"/>
        <w:gridCol w:w="1620"/>
        <w:gridCol w:w="1425"/>
        <w:gridCol w:w="1830"/>
        <w:tblGridChange w:id="0">
          <w:tblGrid>
            <w:gridCol w:w="870"/>
            <w:gridCol w:w="1500"/>
            <w:gridCol w:w="1545"/>
            <w:gridCol w:w="1620"/>
            <w:gridCol w:w="1425"/>
            <w:gridCol w:w="183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Layer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Ratio PR_C/PR_F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color w:val="1a1a14"/>
                <w:sz w:val="20"/>
                <w:szCs w:val="20"/>
                <w:rtl w:val="0"/>
              </w:rPr>
              <w:t xml:space="preserve">L1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color w:val="1a1a14"/>
                <w:sz w:val="20"/>
                <w:szCs w:val="20"/>
                <w:rtl w:val="0"/>
              </w:rPr>
              <w:t xml:space="preserve">1.00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color w:val="1a1a14"/>
                <w:sz w:val="20"/>
                <w:szCs w:val="20"/>
                <w:rtl w:val="0"/>
              </w:rPr>
              <w:t xml:space="preserve">L4</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color w:val="1a1a14"/>
                <w:sz w:val="20"/>
                <w:szCs w:val="20"/>
                <w:rtl w:val="0"/>
              </w:rPr>
              <w:t xml:space="preserve">10.5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color w:val="1a1a14"/>
                <w:sz w:val="20"/>
                <w:szCs w:val="20"/>
                <w:rtl w:val="0"/>
              </w:rPr>
              <w:t xml:space="preserve">16.2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color w:val="1a1a14"/>
                <w:sz w:val="20"/>
                <w:szCs w:val="20"/>
                <w:rtl w:val="0"/>
              </w:rPr>
              <w:t xml:space="preserve">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color w:val="1a1a14"/>
                <w:sz w:val="20"/>
                <w:szCs w:val="20"/>
                <w:rtl w:val="0"/>
              </w:rPr>
              <w:t xml:space="preserve">3.8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color w:val="1a1a14"/>
                <w:sz w:val="20"/>
                <w:szCs w:val="20"/>
                <w:rtl w:val="0"/>
              </w:rPr>
              <w:t xml:space="preserve">1.54</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color w:val="1a1a14"/>
                <w:sz w:val="20"/>
                <w:szCs w:val="20"/>
                <w:rtl w:val="0"/>
              </w:rPr>
              <w:t xml:space="preserve">L6</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color w:val="1a1a14"/>
                <w:sz w:val="20"/>
                <w:szCs w:val="20"/>
                <w:rtl w:val="0"/>
              </w:rPr>
              <w:t xml:space="preserve">4.5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color w:val="1a1a14"/>
                <w:sz w:val="20"/>
                <w:szCs w:val="20"/>
                <w:rtl w:val="0"/>
              </w:rPr>
              <w:t xml:space="preserve">13.5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color w:val="1a1a14"/>
                <w:sz w:val="20"/>
                <w:szCs w:val="20"/>
                <w:rtl w:val="0"/>
              </w:rPr>
              <w:t xml:space="preserve">18.5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color w:val="1a1a14"/>
                <w:sz w:val="20"/>
                <w:szCs w:val="20"/>
                <w:rtl w:val="0"/>
              </w:rPr>
              <w:t xml:space="preserve">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color w:val="1a1a14"/>
                <w:sz w:val="20"/>
                <w:szCs w:val="20"/>
                <w:rtl w:val="0"/>
              </w:rPr>
              <w:t xml:space="preserve">3.00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color w:val="1a1a14"/>
                <w:sz w:val="20"/>
                <w:szCs w:val="20"/>
                <w:rtl w:val="0"/>
              </w:rPr>
              <w:t xml:space="preserve">L8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color w:val="1a1a14"/>
                <w:sz w:val="20"/>
                <w:szCs w:val="20"/>
                <w:rtl w:val="0"/>
              </w:rPr>
              <w:t xml:space="preserve">2.8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color w:val="1a1a14"/>
                <w:sz w:val="20"/>
                <w:szCs w:val="20"/>
                <w:rtl w:val="0"/>
              </w:rPr>
              <w:t xml:space="preserve">12.2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color w:val="1a1a14"/>
                <w:sz w:val="20"/>
                <w:szCs w:val="20"/>
                <w:rtl w:val="0"/>
              </w:rPr>
              <w:t xml:space="preserve">25.5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color w:val="1a1a14"/>
                <w:sz w:val="20"/>
                <w:szCs w:val="20"/>
                <w:rtl w:val="0"/>
              </w:rPr>
              <w:t xml:space="preserve">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color w:val="1a1a14"/>
                <w:sz w:val="20"/>
                <w:szCs w:val="20"/>
                <w:rtl w:val="0"/>
              </w:rPr>
              <w:t xml:space="preserve">4.36</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color w:val="1a1a14"/>
                <w:sz w:val="20"/>
                <w:szCs w:val="20"/>
                <w:rtl w:val="0"/>
              </w:rPr>
              <w:t xml:space="preserve">L10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color w:val="1a1a14"/>
                <w:sz w:val="20"/>
                <w:szCs w:val="20"/>
                <w:rtl w:val="0"/>
              </w:rPr>
              <w:t xml:space="preserve">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color w:val="1a1a14"/>
                <w:sz w:val="20"/>
                <w:szCs w:val="20"/>
                <w:rtl w:val="0"/>
              </w:rPr>
              <w:t xml:space="preserve">11.5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color w:val="1a1a14"/>
                <w:sz w:val="20"/>
                <w:szCs w:val="20"/>
                <w:rtl w:val="0"/>
              </w:rPr>
              <w:t xml:space="preserve">30.2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color w:val="1a1a14"/>
                <w:sz w:val="20"/>
                <w:szCs w:val="20"/>
                <w:rtl w:val="0"/>
              </w:rPr>
              <w:t xml:space="preserve">6.8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color w:val="1a1a14"/>
                <w:sz w:val="20"/>
                <w:szCs w:val="20"/>
                <w:rtl w:val="0"/>
              </w:rPr>
              <w:t xml:space="preserve">5.23</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color w:val="1a1a14"/>
                <w:sz w:val="20"/>
                <w:szCs w:val="20"/>
                <w:rtl w:val="0"/>
              </w:rPr>
              <w:t xml:space="preserve">L12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color w:val="1a1a14"/>
                <w:sz w:val="20"/>
                <w:szCs w:val="20"/>
                <w:rtl w:val="0"/>
              </w:rPr>
              <w:t xml:space="preserve">1.8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color w:val="1a1a14"/>
                <w:sz w:val="20"/>
                <w:szCs w:val="20"/>
                <w:rtl w:val="0"/>
              </w:rPr>
              <w:t xml:space="preserve">11.0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color w:val="1a1a14"/>
                <w:sz w:val="20"/>
                <w:szCs w:val="20"/>
                <w:rtl w:val="0"/>
              </w:rPr>
              <w:t xml:space="preserve">33.5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color w:val="1a1a14"/>
                <w:sz w:val="20"/>
                <w:szCs w:val="20"/>
                <w:rtl w:val="0"/>
              </w:rPr>
              <w:t xml:space="preserve">7.2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color w:val="1a1a14"/>
                <w:sz w:val="20"/>
                <w:szCs w:val="20"/>
                <w:rtl w:val="0"/>
              </w:rPr>
              <w:t xml:space="preserve">6.11</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0B6E54"/>
          <w:sz w:val="22"/>
          <w:szCs w:val="22"/>
          <w:rtl w:val="0"/>
        </w:rPr>
        <w:t xml:space="preserve">Key Finding: </w:t>
      </w:r>
      <w:r w:rsidDel="00000000" w:rsidR="00000000" w:rsidRPr="00000000">
        <w:rPr>
          <w:rFonts w:ascii="Times New Roman" w:cs="Times New Roman" w:eastAsia="Times New Roman" w:hAnsi="Times New Roman"/>
          <w:color w:val="1a1a14"/>
          <w:sz w:val="22"/>
          <w:szCs w:val="22"/>
          <w:rtl w:val="0"/>
        </w:rPr>
        <w:t xml:space="preserve">The PR ratio between creative and factual modes increases from 1.0 at layer 1 to 6.1 at layer 12, revealing that the spectral signature of generation mode becomes progressively stronger in deeper layers. This suggests that the model's internal representations become increasingly mode-specific as they propagate through the network.</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0FE">
      <w:pPr>
        <w:pStyle w:val="Heading1"/>
        <w:pBdr>
          <w:bottom w:color="c9a84c" w:space="8" w:sz="4" w:val="single"/>
        </w:pBdr>
        <w:spacing w:after="240" w:before="480" w:line="400" w:lineRule="auto"/>
        <w:jc w:val="left"/>
        <w:rPr/>
      </w:pPr>
      <w:bookmarkStart w:colFirst="0" w:colLast="0" w:name="_vswiobon8f0z" w:id="21"/>
      <w:bookmarkEnd w:id="21"/>
      <w:r w:rsidDel="00000000" w:rsidR="00000000" w:rsidRPr="00000000">
        <w:rPr>
          <w:rFonts w:ascii="Times New Roman" w:cs="Times New Roman" w:eastAsia="Times New Roman" w:hAnsi="Times New Roman"/>
          <w:b/>
          <w:bCs w:val="1"/>
          <w:color w:val="0A9B72"/>
          <w:sz w:val="36"/>
          <w:szCs w:val="36"/>
          <w:rtl w:val="0"/>
        </w:rPr>
        <w:t xml:space="preserve">5. Advanced Experiments</w:t>
      </w:r>
      <w:r w:rsidDel="00000000" w:rsidR="00000000" w:rsidRPr="00000000">
        <w:rPr>
          <w:b/>
          <w:color w:val="0A9B72"/>
          <w:rtl w:val="0"/>
        </w:rPr>
      </w:r>
    </w:p>
    <w:p w:rsidR="00000000" w:rsidDel="00000000" w:rsidP="00000000" w:rsidRDefault="00000000" w:rsidRPr="00000000" w14:paraId="000000FF">
      <w:pPr>
        <w:pStyle w:val="Heading2"/>
        <w:pBdr>
          <w:left w:color="c9a84c" w:space="10" w:sz="10" w:val="single"/>
        </w:pBdr>
        <w:spacing w:after="180" w:before="360" w:line="360" w:lineRule="auto"/>
        <w:ind w:left="200" w:firstLine="0"/>
        <w:jc w:val="left"/>
        <w:rPr/>
      </w:pPr>
      <w:bookmarkStart w:colFirst="0" w:colLast="0" w:name="_1qe5dq929i5x" w:id="22"/>
      <w:bookmarkEnd w:id="22"/>
      <w:r w:rsidDel="00000000" w:rsidR="00000000" w:rsidRPr="00000000">
        <w:rPr>
          <w:rFonts w:ascii="Times New Roman" w:cs="Times New Roman" w:eastAsia="Times New Roman" w:hAnsi="Times New Roman"/>
          <w:b/>
          <w:bCs w:val="1"/>
          <w:color w:val="0E7FA8"/>
          <w:sz w:val="30"/>
          <w:szCs w:val="30"/>
          <w:rtl w:val="0"/>
        </w:rPr>
        <w:t xml:space="preserve">5.1 Temperature Sweep: Spectral Phase Transition</w:t>
      </w:r>
      <w:r w:rsidDel="00000000" w:rsidR="00000000" w:rsidRPr="00000000">
        <w:rPr>
          <w:b/>
          <w:color w:val="0E7FA8"/>
          <w:rtl w:val="0"/>
        </w:rPr>
      </w:r>
    </w:p>
    <w:p w:rsidR="00000000" w:rsidDel="00000000" w:rsidP="00000000" w:rsidRDefault="00000000" w:rsidRPr="00000000" w14:paraId="0000010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Temperature is a fundamental parameter controlling the randomness of LLM generation, with low temperature (T → 0) producing deterministic, peaked output distributions and high temperature (T → ∞) producing uniform, random output. If our spectral framework correctly captures the transition between factual and creative generation, then increasing temperature should produce a continuous spectral phase transition analogous to the thermodynamic transition from a bound state to a gas. Figure 5-1 presents the results of our temperature sweep experiment, showing how four key spectral metrics evolve as temperature varies from 0.1 to 2.0.</w:t>
      </w:r>
      <w:r w:rsidDel="00000000" w:rsidR="00000000" w:rsidRPr="00000000">
        <w:rPr>
          <w:rtl w:val="0"/>
        </w:rPr>
      </w:r>
    </w:p>
    <w:p w:rsidR="00000000" w:rsidDel="00000000" w:rsidP="00000000" w:rsidRDefault="00000000" w:rsidRPr="00000000" w14:paraId="00000101">
      <w:pPr>
        <w:spacing w:after="100" w:before="200" w:lineRule="auto"/>
        <w:jc w:val="center"/>
        <w:rPr/>
      </w:pPr>
      <w:r w:rsidDel="00000000" w:rsidR="00000000" w:rsidRPr="00000000">
        <w:rPr/>
        <w:drawing>
          <wp:inline distB="0" distT="0" distL="0" distR="0">
            <wp:extent cx="4572000" cy="3781425"/>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5720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5-1: Temperature sweep showing spectral phase transition</w:t>
      </w:r>
      <w:r w:rsidDel="00000000" w:rsidR="00000000" w:rsidRPr="00000000">
        <w:rPr>
          <w:rtl w:val="0"/>
        </w:rPr>
      </w:r>
    </w:p>
    <w:p w:rsidR="00000000" w:rsidDel="00000000" w:rsidP="00000000" w:rsidRDefault="00000000" w:rsidRPr="00000000" w14:paraId="0000010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results confirm our prediction with remarkable precision. The Participation Ratio increases monotonically with temperature, from PR ≈ 1.8 at T = 0.1 (highly concentrated, factual regime) to PR ≈ 18.5 at T = 2.0 (highly distributed, creative regime). Simultaneously, the SNR decreases from 28.5 dB to 2.1 dB, the spectral entropy increases from 0.8 to 6.8, and the lambda_max/lambda_+ ratio decreases from 8.5 to 0.7. The transition occurs most sharply around T = 1.0 (the default temperature for most LLM applications), suggesting that this parameter value sits at the critical point between factual and creative spectral phases. The smooth, continuous nature of the transition is consistent with a second-order (continuous) phase transition rather than a first-order (discontinuous) one.</w:t>
      </w:r>
      <w:r w:rsidDel="00000000" w:rsidR="00000000" w:rsidRPr="00000000">
        <w:rPr>
          <w:rtl w:val="0"/>
        </w:rPr>
      </w:r>
    </w:p>
    <w:p w:rsidR="00000000" w:rsidDel="00000000" w:rsidP="00000000" w:rsidRDefault="00000000" w:rsidRPr="00000000" w14:paraId="00000104">
      <w:pPr>
        <w:pStyle w:val="Heading2"/>
        <w:pBdr>
          <w:left w:color="c9a84c" w:space="10" w:sz="10" w:val="single"/>
        </w:pBdr>
        <w:spacing w:after="180" w:before="360" w:line="360" w:lineRule="auto"/>
        <w:ind w:left="200" w:firstLine="0"/>
        <w:jc w:val="left"/>
        <w:rPr/>
      </w:pPr>
      <w:bookmarkStart w:colFirst="0" w:colLast="0" w:name="_8havtu77qroy" w:id="23"/>
      <w:bookmarkEnd w:id="23"/>
      <w:r w:rsidDel="00000000" w:rsidR="00000000" w:rsidRPr="00000000">
        <w:rPr>
          <w:rFonts w:ascii="Times New Roman" w:cs="Times New Roman" w:eastAsia="Times New Roman" w:hAnsi="Times New Roman"/>
          <w:b/>
          <w:bCs w:val="1"/>
          <w:color w:val="0E7FA8"/>
          <w:sz w:val="30"/>
          <w:szCs w:val="30"/>
          <w:rtl w:val="0"/>
        </w:rPr>
        <w:t xml:space="preserve">5.2 Cross-Layer Spectral Transfer</w:t>
      </w:r>
      <w:r w:rsidDel="00000000" w:rsidR="00000000" w:rsidRPr="00000000">
        <w:rPr>
          <w:b/>
          <w:color w:val="0E7FA8"/>
          <w:rtl w:val="0"/>
        </w:rPr>
      </w:r>
    </w:p>
    <w:p w:rsidR="00000000" w:rsidDel="00000000" w:rsidP="00000000" w:rsidRDefault="00000000" w:rsidRPr="00000000" w14:paraId="0000010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analysis of spectral metrics across all 12 GPT-2 layers reveals a rich structure that can be understood through the lens of renormalization group (RG) theory. Figure 5-2 shows the evolution of PR and SNR across layers for both factual and creative prompts. For factual prompts, both metrics show a dramatic change in the intermediate layers (L5-L8), which we identify as the “critical region” of the network. In this region, PR drops rapidly from ~10 to ~3 and SNR increases sharply from ~8 dB to ~22 dB, indicating a rapid concentration of spectral weight as the model transitions from a high-dimensional, noisy representation in the early layers to a low-dimensional, signal-dominated representation in the later layers.</w:t>
      </w:r>
      <w:r w:rsidDel="00000000" w:rsidR="00000000" w:rsidRPr="00000000">
        <w:rPr>
          <w:rtl w:val="0"/>
        </w:rPr>
      </w:r>
    </w:p>
    <w:p w:rsidR="00000000" w:rsidDel="00000000" w:rsidP="00000000" w:rsidRDefault="00000000" w:rsidRPr="00000000" w14:paraId="00000106">
      <w:pPr>
        <w:spacing w:after="100" w:before="200" w:lineRule="auto"/>
        <w:jc w:val="center"/>
        <w:rPr/>
      </w:pPr>
      <w:r w:rsidDel="00000000" w:rsidR="00000000" w:rsidRPr="00000000">
        <w:rPr/>
        <w:drawing>
          <wp:inline distB="0" distT="0" distL="0" distR="0">
            <wp:extent cx="4572000" cy="2019300"/>
            <wp:effectExtent b="0" l="0" r="0" t="0"/>
            <wp:docPr id="2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572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5-2: Spectral evolution across GPT-2 layers</w:t>
      </w:r>
      <w:r w:rsidDel="00000000" w:rsidR="00000000" w:rsidRPr="00000000">
        <w:rPr>
          <w:rtl w:val="0"/>
        </w:rPr>
      </w:r>
    </w:p>
    <w:p w:rsidR="00000000" w:rsidDel="00000000" w:rsidP="00000000" w:rsidRDefault="00000000" w:rsidRPr="00000000" w14:paraId="00000108">
      <w:pPr>
        <w:pStyle w:val="Heading2"/>
        <w:pBdr>
          <w:left w:color="c9a84c" w:space="10" w:sz="10" w:val="single"/>
        </w:pBdr>
        <w:spacing w:after="180" w:before="360" w:line="360" w:lineRule="auto"/>
        <w:ind w:left="200" w:firstLine="0"/>
        <w:jc w:val="left"/>
        <w:rPr/>
      </w:pPr>
      <w:bookmarkStart w:colFirst="0" w:colLast="0" w:name="_w3ei5ft83jrl" w:id="24"/>
      <w:bookmarkEnd w:id="24"/>
      <w:r w:rsidDel="00000000" w:rsidR="00000000" w:rsidRPr="00000000">
        <w:rPr>
          <w:rFonts w:ascii="Times New Roman" w:cs="Times New Roman" w:eastAsia="Times New Roman" w:hAnsi="Times New Roman"/>
          <w:b/>
          <w:bCs w:val="1"/>
          <w:color w:val="0E7FA8"/>
          <w:sz w:val="30"/>
          <w:szCs w:val="30"/>
          <w:rtl w:val="0"/>
        </w:rPr>
        <w:t xml:space="preserve">5.3 Inverse Participation Ratio Across Layers</w:t>
      </w:r>
      <w:r w:rsidDel="00000000" w:rsidR="00000000" w:rsidRPr="00000000">
        <w:rPr>
          <w:b/>
          <w:color w:val="0E7FA8"/>
          <w:rtl w:val="0"/>
        </w:rPr>
      </w:r>
    </w:p>
    <w:p w:rsidR="00000000" w:rsidDel="00000000" w:rsidP="00000000" w:rsidRDefault="00000000" w:rsidRPr="00000000" w14:paraId="0000010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Inverse Participation Ratio of the top eigenvector provides a complementary perspective on the spectral evolution, quantifying the degree to which the dominant spectral direction is localized (concentrated on a few components) versus delocalized (spread across many components). Figure 5-3 shows the IPR across layers for both generation modes. For factual prompts, IPR increases dramatically from ~0.003 at layer 1 to ~0.21 at layer 12, indicating a 70-fold increase in eigenvector localization. This means that the factual signal direction becomes progressively more concentrated on specific hidden dimensions as information flows through the network, consistent with the model developing specialized “factual retrieval circuits” in its later layers. For creative prompts, IPR remains consistently low (~0.003-0.012), indicating a delocalized top eigenvector that distributes its weight across many dimensions, consistent with the high-dimensional, distributed nature of creative representations.</w:t>
      </w:r>
      <w:r w:rsidDel="00000000" w:rsidR="00000000" w:rsidRPr="00000000">
        <w:rPr>
          <w:rtl w:val="0"/>
        </w:rPr>
      </w:r>
    </w:p>
    <w:p w:rsidR="00000000" w:rsidDel="00000000" w:rsidP="00000000" w:rsidRDefault="00000000" w:rsidRPr="00000000" w14:paraId="0000010A">
      <w:pPr>
        <w:spacing w:after="100" w:before="200" w:lineRule="auto"/>
        <w:jc w:val="center"/>
        <w:rPr/>
      </w:pPr>
      <w:r w:rsidDel="00000000" w:rsidR="00000000" w:rsidRPr="00000000">
        <w:rPr/>
        <w:drawing>
          <wp:inline distB="0" distT="0" distL="0" distR="0">
            <wp:extent cx="4381500" cy="285750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5-3: IPR of top eigenvector across layers</w:t>
      </w:r>
      <w:r w:rsidDel="00000000" w:rsidR="00000000" w:rsidRPr="00000000">
        <w:rPr>
          <w:rtl w:val="0"/>
        </w:rPr>
      </w:r>
    </w:p>
    <w:p w:rsidR="00000000" w:rsidDel="00000000" w:rsidP="00000000" w:rsidRDefault="00000000" w:rsidRPr="00000000" w14:paraId="0000010C">
      <w:pPr>
        <w:pStyle w:val="Heading2"/>
        <w:pBdr>
          <w:left w:color="c9a84c" w:space="10" w:sz="10" w:val="single"/>
        </w:pBdr>
        <w:spacing w:after="180" w:before="360" w:line="360" w:lineRule="auto"/>
        <w:ind w:left="200" w:firstLine="0"/>
        <w:jc w:val="left"/>
        <w:rPr/>
      </w:pPr>
      <w:bookmarkStart w:colFirst="0" w:colLast="0" w:name="_41y50cibn67b" w:id="25"/>
      <w:bookmarkEnd w:id="25"/>
      <w:r w:rsidDel="00000000" w:rsidR="00000000" w:rsidRPr="00000000">
        <w:rPr>
          <w:rFonts w:ascii="Times New Roman" w:cs="Times New Roman" w:eastAsia="Times New Roman" w:hAnsi="Times New Roman"/>
          <w:b/>
          <w:bCs w:val="1"/>
          <w:color w:val="0E7FA8"/>
          <w:sz w:val="30"/>
          <w:szCs w:val="30"/>
          <w:rtl w:val="0"/>
        </w:rPr>
        <w:t xml:space="preserve">5.4 Prompt Length Dependence</w:t>
      </w:r>
      <w:r w:rsidDel="00000000" w:rsidR="00000000" w:rsidRPr="00000000">
        <w:rPr>
          <w:b/>
          <w:color w:val="0E7FA8"/>
          <w:rtl w:val="0"/>
        </w:rPr>
      </w:r>
    </w:p>
    <w:p w:rsidR="00000000" w:rsidDel="00000000" w:rsidP="00000000" w:rsidRDefault="00000000" w:rsidRPr="00000000" w14:paraId="0000010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dependence of spectral metrics on prompt length provides a test of the finite-size scaling predictions of RMT. In the asymptotic limit, PR should scale as PR ~ O(T/k) where T is the sequence length and k is the number of significant eigenvalue directions. Figure 5-4 shows the PR as a function of prompt length for both factual and creative prompts. For factual prompts, PR saturates quickly (by T ≈ 40-60) as the dominant signal direction becomes fully resolved, while for creative prompts, PR continues to increase sub-linearly with T, reflecting the distributed nature of the representation. The theoretical prediction PR ~ kT/(k + T) provides an excellent fit to both curves, confirming the finite-size scaling behavior predicted by RMT.</w:t>
      </w:r>
      <w:r w:rsidDel="00000000" w:rsidR="00000000" w:rsidRPr="00000000">
        <w:rPr>
          <w:rtl w:val="0"/>
        </w:rPr>
      </w:r>
    </w:p>
    <w:p w:rsidR="00000000" w:rsidDel="00000000" w:rsidP="00000000" w:rsidRDefault="00000000" w:rsidRPr="00000000" w14:paraId="0000010E">
      <w:pPr>
        <w:spacing w:after="100" w:before="200" w:lineRule="auto"/>
        <w:jc w:val="center"/>
        <w:rPr/>
      </w:pPr>
      <w:r w:rsidDel="00000000" w:rsidR="00000000" w:rsidRPr="00000000">
        <w:rPr/>
        <w:drawing>
          <wp:inline distB="0" distT="0" distL="0" distR="0">
            <wp:extent cx="4381500" cy="2895600"/>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381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5-4: Prompt length dependence of Participation Ratio</w:t>
      </w:r>
      <w:r w:rsidDel="00000000" w:rsidR="00000000" w:rsidRPr="00000000">
        <w:rPr>
          <w:rtl w:val="0"/>
        </w:rPr>
      </w:r>
    </w:p>
    <w:p w:rsidR="00000000" w:rsidDel="00000000" w:rsidP="00000000" w:rsidRDefault="00000000" w:rsidRPr="00000000" w14:paraId="00000110">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11">
      <w:pPr>
        <w:pStyle w:val="Heading1"/>
        <w:pBdr>
          <w:bottom w:color="c9a84c" w:space="8" w:sz="4" w:val="single"/>
        </w:pBdr>
        <w:spacing w:after="240" w:before="480" w:line="400" w:lineRule="auto"/>
        <w:jc w:val="left"/>
        <w:rPr/>
      </w:pPr>
      <w:bookmarkStart w:colFirst="0" w:colLast="0" w:name="_hff8a4p2qo3e" w:id="26"/>
      <w:bookmarkEnd w:id="26"/>
      <w:r w:rsidDel="00000000" w:rsidR="00000000" w:rsidRPr="00000000">
        <w:rPr>
          <w:rFonts w:ascii="Times New Roman" w:cs="Times New Roman" w:eastAsia="Times New Roman" w:hAnsi="Times New Roman"/>
          <w:b/>
          <w:bCs w:val="1"/>
          <w:color w:val="0A9B72"/>
          <w:sz w:val="36"/>
          <w:szCs w:val="36"/>
          <w:rtl w:val="0"/>
        </w:rPr>
        <w:t xml:space="preserve">6. Theoretical Extensions</w:t>
      </w:r>
      <w:r w:rsidDel="00000000" w:rsidR="00000000" w:rsidRPr="00000000">
        <w:rPr>
          <w:b/>
          <w:color w:val="0A9B72"/>
          <w:rtl w:val="0"/>
        </w:rPr>
      </w:r>
    </w:p>
    <w:p w:rsidR="00000000" w:rsidDel="00000000" w:rsidP="00000000" w:rsidRDefault="00000000" w:rsidRPr="00000000" w14:paraId="00000112">
      <w:pPr>
        <w:pStyle w:val="Heading2"/>
        <w:pBdr>
          <w:left w:color="c9a84c" w:space="10" w:sz="10" w:val="single"/>
        </w:pBdr>
        <w:spacing w:after="180" w:before="360" w:line="360" w:lineRule="auto"/>
        <w:ind w:left="200" w:firstLine="0"/>
        <w:jc w:val="left"/>
        <w:rPr/>
      </w:pPr>
      <w:bookmarkStart w:colFirst="0" w:colLast="0" w:name="_1uus9tzorbo" w:id="27"/>
      <w:bookmarkEnd w:id="27"/>
      <w:r w:rsidDel="00000000" w:rsidR="00000000" w:rsidRPr="00000000">
        <w:rPr>
          <w:rFonts w:ascii="Times New Roman" w:cs="Times New Roman" w:eastAsia="Times New Roman" w:hAnsi="Times New Roman"/>
          <w:b/>
          <w:bCs w:val="1"/>
          <w:color w:val="0E7FA8"/>
          <w:sz w:val="30"/>
          <w:szCs w:val="30"/>
          <w:rtl w:val="0"/>
        </w:rPr>
        <w:t xml:space="preserve">6.1 Free Energy Analogy: F = U - TS_spec</w:t>
      </w:r>
      <w:r w:rsidDel="00000000" w:rsidR="00000000" w:rsidRPr="00000000">
        <w:rPr>
          <w:b/>
          <w:color w:val="0E7FA8"/>
          <w:rtl w:val="0"/>
        </w:rPr>
      </w:r>
    </w:p>
    <w:p w:rsidR="00000000" w:rsidDel="00000000" w:rsidP="00000000" w:rsidRDefault="00000000" w:rsidRPr="00000000" w14:paraId="0000011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observed spectral dichotomy between factual and creative generation admits an elegant thermodynamic interpretation through the concept of spectral free energy. Inspired by the Helmholtz free energy F = U - TS in statistical mechanics, where U is the internal energy, T is the temperature, and S is the entropy, we define the spectral free energy as F = U - T * S_spec, where U = lambda_max plays the role of internal energy (the “cost” of maintaining a dominant spectral direction), S_spec = -sum_i lambda_tilde_i log(lambda_tilde_i) is the spectral entropy measuring the uncertainty in the spectral distribution, and T is an effective temperature parameter that may be identified with the generation temperature.</w:t>
      </w:r>
      <w:r w:rsidDel="00000000" w:rsidR="00000000" w:rsidRPr="00000000">
        <w:rPr>
          <w:rtl w:val="0"/>
        </w:rPr>
      </w:r>
    </w:p>
    <w:tbl>
      <w:tblPr>
        <w:tblStyle w:val="Table1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4">
            <w:pPr>
              <w:jc w:val="center"/>
              <w:rPr/>
            </w:pPr>
            <w:r w:rsidDel="00000000" w:rsidR="00000000" w:rsidRPr="00000000">
              <w:rPr/>
              <w:drawing>
                <wp:inline distB="0" distT="0" distL="0" distR="0">
                  <wp:extent cx="3619500" cy="409575"/>
                  <wp:effectExtent b="0" l="0" r="0" t="0"/>
                  <wp:docPr id="2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619500"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6-1: Spectral free energy definition</w:t>
      </w:r>
      <w:r w:rsidDel="00000000" w:rsidR="00000000" w:rsidRPr="00000000">
        <w:rPr>
          <w:rtl w:val="0"/>
        </w:rPr>
      </w:r>
    </w:p>
    <w:p w:rsidR="00000000" w:rsidDel="00000000" w:rsidP="00000000" w:rsidRDefault="00000000" w:rsidRPr="00000000" w14:paraId="00000116">
      <w:pPr>
        <w:spacing w:after="100" w:before="200" w:lineRule="auto"/>
        <w:jc w:val="center"/>
        <w:rPr/>
      </w:pPr>
      <w:r w:rsidDel="00000000" w:rsidR="00000000" w:rsidRPr="00000000">
        <w:rPr/>
        <w:drawing>
          <wp:inline distB="0" distT="0" distL="0" distR="0">
            <wp:extent cx="4191000" cy="3200400"/>
            <wp:effectExtent b="0" l="0" r="0" t="0"/>
            <wp:docPr id="2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6-1: Free energy landscape showing factual and creative phases</w:t>
      </w:r>
      <w:r w:rsidDel="00000000" w:rsidR="00000000" w:rsidRPr="00000000">
        <w:rPr>
          <w:rtl w:val="0"/>
        </w:rPr>
      </w:r>
    </w:p>
    <w:p w:rsidR="00000000" w:rsidDel="00000000" w:rsidP="00000000" w:rsidRDefault="00000000" w:rsidRPr="00000000" w14:paraId="0000011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factual phase, lambda_max is large and S_spec is small, resulting in a large negative free energy F &lt;&lt; 0. This corresponds to a “bound state” in which the spectral weight is concentrated in a single deep energy minimum, analogous to a particle bound in a potential well. The model has committed to a specific, well-defined output direction, and the cost of deviating from this direction (as measured by the gap between lambda_max and the bulk) is high. In the creative phase, lambda_max is comparable to the bulk edge and S_spec is large, resulting in F ≈ 0. This corresponds to a “gas state” in which the spectral weight is distributed across many directions, analogous to a free particle exploring a large phase space. The model has not committed to any specific output direction, and the spectral landscape is relatively flat.</w:t>
      </w:r>
      <w:r w:rsidDel="00000000" w:rsidR="00000000" w:rsidRPr="00000000">
        <w:rPr>
          <w:rtl w:val="0"/>
        </w:rPr>
      </w:r>
    </w:p>
    <w:p w:rsidR="00000000" w:rsidDel="00000000" w:rsidP="00000000" w:rsidRDefault="00000000" w:rsidRPr="00000000" w14:paraId="00000119">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0B6E54"/>
          <w:sz w:val="22"/>
          <w:szCs w:val="22"/>
          <w:rtl w:val="0"/>
        </w:rPr>
        <w:t xml:space="preserve">Thermodynamic Interpretation: </w:t>
      </w:r>
      <w:r w:rsidDel="00000000" w:rsidR="00000000" w:rsidRPr="00000000">
        <w:rPr>
          <w:rFonts w:ascii="Times New Roman" w:cs="Times New Roman" w:eastAsia="Times New Roman" w:hAnsi="Times New Roman"/>
          <w:color w:val="1a1a14"/>
          <w:sz w:val="22"/>
          <w:szCs w:val="22"/>
          <w:rtl w:val="0"/>
        </w:rPr>
        <w:t xml:space="preserve">Factual generation = Bound State (F &lt; 0, low entropy, high energy). Creative generation = Gas State (F ≈ 0, high entropy, low energy). The BBP transition = Phase transition at F = 0.</w:t>
      </w:r>
      <w:r w:rsidDel="00000000" w:rsidR="00000000" w:rsidRPr="00000000">
        <w:rPr>
          <w:rtl w:val="0"/>
        </w:rPr>
      </w:r>
    </w:p>
    <w:p w:rsidR="00000000" w:rsidDel="00000000" w:rsidP="00000000" w:rsidRDefault="00000000" w:rsidRPr="00000000" w14:paraId="0000011A">
      <w:pPr>
        <w:pStyle w:val="Heading2"/>
        <w:pBdr>
          <w:left w:color="c9a84c" w:space="10" w:sz="10" w:val="single"/>
        </w:pBdr>
        <w:spacing w:after="180" w:before="360" w:line="360" w:lineRule="auto"/>
        <w:ind w:left="200" w:firstLine="0"/>
        <w:jc w:val="left"/>
        <w:rPr/>
      </w:pPr>
      <w:bookmarkStart w:colFirst="0" w:colLast="0" w:name="_acpfoa28qp0" w:id="28"/>
      <w:bookmarkEnd w:id="28"/>
      <w:r w:rsidDel="00000000" w:rsidR="00000000" w:rsidRPr="00000000">
        <w:rPr>
          <w:rFonts w:ascii="Times New Roman" w:cs="Times New Roman" w:eastAsia="Times New Roman" w:hAnsi="Times New Roman"/>
          <w:b/>
          <w:bCs w:val="1"/>
          <w:color w:val="0E7FA8"/>
          <w:sz w:val="30"/>
          <w:szCs w:val="30"/>
          <w:rtl w:val="0"/>
        </w:rPr>
        <w:t xml:space="preserve">6.2 Renormalization Group Flow Across Layers</w:t>
      </w:r>
      <w:r w:rsidDel="00000000" w:rsidR="00000000" w:rsidRPr="00000000">
        <w:rPr>
          <w:b/>
          <w:color w:val="0E7FA8"/>
          <w:rtl w:val="0"/>
        </w:rPr>
      </w:r>
    </w:p>
    <w:p w:rsidR="00000000" w:rsidDel="00000000" w:rsidP="00000000" w:rsidRDefault="00000000" w:rsidRPr="00000000" w14:paraId="0000011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layer-wise evolution of spectral metrics in GPT-2 can be understood through the framework of renormalization group (RG) theory, where each transformer layer acts as a renormalization transformation that coarse-grains the representation space. In RG theory, the flow of coupling constants under successive coarse-graining transformations defines trajectories in parameter space that terminate at fixed points. We map this framework to the LLM context by identifying the coupling constants with the spectral metrics (PR, lambda_max/lambda_+) and the RG transformations with the operations of each transformer layer.</w:t>
      </w:r>
      <w:r w:rsidDel="00000000" w:rsidR="00000000" w:rsidRPr="00000000">
        <w:rPr>
          <w:rtl w:val="0"/>
        </w:rPr>
      </w:r>
    </w:p>
    <w:tbl>
      <w:tblPr>
        <w:tblStyle w:val="Table1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C">
            <w:pPr>
              <w:jc w:val="center"/>
              <w:rPr/>
            </w:pPr>
            <w:r w:rsidDel="00000000" w:rsidR="00000000" w:rsidRPr="00000000">
              <w:rPr/>
              <w:drawing>
                <wp:inline distB="0" distT="0" distL="0" distR="0">
                  <wp:extent cx="3619500" cy="523875"/>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619500"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6-2: RG beta function for spectral flow</w:t>
      </w:r>
      <w:r w:rsidDel="00000000" w:rsidR="00000000" w:rsidRPr="00000000">
        <w:rPr>
          <w:rtl w:val="0"/>
        </w:rPr>
      </w:r>
    </w:p>
    <w:p w:rsidR="00000000" w:rsidDel="00000000" w:rsidP="00000000" w:rsidRDefault="00000000" w:rsidRPr="00000000" w14:paraId="0000011E">
      <w:pPr>
        <w:spacing w:after="100" w:before="200" w:lineRule="auto"/>
        <w:jc w:val="center"/>
        <w:rPr/>
      </w:pPr>
      <w:r w:rsidDel="00000000" w:rsidR="00000000" w:rsidRPr="00000000">
        <w:rPr/>
        <w:drawing>
          <wp:inline distB="0" distT="0" distL="0" distR="0">
            <wp:extent cx="4191000" cy="354330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4191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6-2: RG flow trajectory in the (PR, lambda_max/lambda_+) plane</w:t>
      </w:r>
      <w:r w:rsidDel="00000000" w:rsidR="00000000" w:rsidRPr="00000000">
        <w:rPr>
          <w:rtl w:val="0"/>
        </w:rPr>
      </w:r>
    </w:p>
    <w:p w:rsidR="00000000" w:rsidDel="00000000" w:rsidP="00000000" w:rsidRDefault="00000000" w:rsidRPr="00000000" w14:paraId="0000012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6-2 shows the RG flow trajectories for both factual and creative prompts in the (PR, lambda_max/lambda_+) plane. Both trajectories originate from the same point in the upper-left region (high PR, low lambda_max/lambda_+) at layer 1, reflecting the initially similar, high-dimensional representation in the embedding layer. As the RG flow progresses through successive layers, the trajectories diverge dramatically: the factual trajectory flows toward the lower-right region (low PR, high lambda_max/lambda_+), converging to a “factual fixed point” characterized by extreme spectral concentration. The creative trajectory flows toward the lower-left region (moderate PR, low lambda_max/lambda_+), converging to a “creative fixed point” characterized by distributed spectral weight. The intermediate layers (L5-L8) form a critical region where the trajectories pass closest to each other before diverging, analogous to the critical region near a second-order phase transition in statistical physics.</w:t>
      </w:r>
      <w:r w:rsidDel="00000000" w:rsidR="00000000" w:rsidRPr="00000000">
        <w:rPr>
          <w:rtl w:val="0"/>
        </w:rPr>
      </w:r>
    </w:p>
    <w:p w:rsidR="00000000" w:rsidDel="00000000" w:rsidP="00000000" w:rsidRDefault="00000000" w:rsidRPr="00000000" w14:paraId="00000121">
      <w:pPr>
        <w:pStyle w:val="Heading2"/>
        <w:pBdr>
          <w:left w:color="c9a84c" w:space="10" w:sz="10" w:val="single"/>
        </w:pBdr>
        <w:spacing w:after="180" w:before="360" w:line="360" w:lineRule="auto"/>
        <w:ind w:left="200" w:firstLine="0"/>
        <w:jc w:val="left"/>
        <w:rPr/>
      </w:pPr>
      <w:bookmarkStart w:colFirst="0" w:colLast="0" w:name="_7n318dedouk3" w:id="29"/>
      <w:bookmarkEnd w:id="29"/>
      <w:r w:rsidDel="00000000" w:rsidR="00000000" w:rsidRPr="00000000">
        <w:rPr>
          <w:rFonts w:ascii="Times New Roman" w:cs="Times New Roman" w:eastAsia="Times New Roman" w:hAnsi="Times New Roman"/>
          <w:b/>
          <w:bCs w:val="1"/>
          <w:color w:val="0E7FA8"/>
          <w:sz w:val="30"/>
          <w:szCs w:val="30"/>
          <w:rtl w:val="0"/>
        </w:rPr>
        <w:t xml:space="preserve">6.3 Information-Theoretic Connection</w:t>
      </w:r>
      <w:r w:rsidDel="00000000" w:rsidR="00000000" w:rsidRPr="00000000">
        <w:rPr>
          <w:b/>
          <w:color w:val="0E7FA8"/>
          <w:rtl w:val="0"/>
        </w:rPr>
      </w:r>
    </w:p>
    <w:p w:rsidR="00000000" w:rsidDel="00000000" w:rsidP="00000000" w:rsidRDefault="00000000" w:rsidRPr="00000000" w14:paraId="0000012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metrics we have developed have deep connections to information theory. The spectral entropy S_spec = -sum_i lambda_tilde_i log(lambda_tilde_i) is directly related to the von Neumann entropy of the density matrix rho = C / Tr(C), which in quantum information theory measures the entanglement between the observed subsystem and its complement. In the LLM context, we can interpret the covariance matrix C as an effective density matrix over the hidden state space, with S_spec measuring the degree of “entanglement” between the model's representation and the prompt context. Low S_spec (factual) indicates that the model's state is highly correlated with the prompt, while high S_spec (creative) indicates weak correlation.</w:t>
      </w:r>
      <w:r w:rsidDel="00000000" w:rsidR="00000000" w:rsidRPr="00000000">
        <w:rPr>
          <w:rtl w:val="0"/>
        </w:rPr>
      </w:r>
    </w:p>
    <w:tbl>
      <w:tblPr>
        <w:tblStyle w:val="Table2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23">
            <w:pPr>
              <w:jc w:val="center"/>
              <w:rPr/>
            </w:pPr>
            <w:r w:rsidDel="00000000" w:rsidR="00000000" w:rsidRPr="00000000">
              <w:rPr/>
              <w:drawing>
                <wp:inline distB="0" distT="0" distL="0" distR="0">
                  <wp:extent cx="3238500" cy="238125"/>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238500" cy="238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6-3: Mutual information between input and spectral representation</w:t>
      </w:r>
      <w:r w:rsidDel="00000000" w:rsidR="00000000" w:rsidRPr="00000000">
        <w:rPr>
          <w:rtl w:val="0"/>
        </w:rPr>
      </w:r>
    </w:p>
    <w:p w:rsidR="00000000" w:rsidDel="00000000" w:rsidP="00000000" w:rsidRDefault="00000000" w:rsidRPr="00000000" w14:paraId="0000012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Furthermore, the mutual information I(X; M) between the input X and the spectral representation M = spectrum of C can be decomposed as I(X; M) = H(X) - H(X|M). In the factual regime, H(X|M) is small (the spectral representation M uniquely determines the input class), so I(X; M) is large. In the creative regime, H(X|M) is large (many different inputs produce similar spectral representations), so I(X; M) is small. This information-theoretic perspective confirms that the spectral metrics are not merely phenomenological but are grounded in fundamental principles of statistical inference and information theory.</w:t>
      </w:r>
      <w:r w:rsidDel="00000000" w:rsidR="00000000" w:rsidRPr="00000000">
        <w:rPr>
          <w:rtl w:val="0"/>
        </w:rPr>
      </w:r>
    </w:p>
    <w:p w:rsidR="00000000" w:rsidDel="00000000" w:rsidP="00000000" w:rsidRDefault="00000000" w:rsidRPr="00000000" w14:paraId="00000126">
      <w:pPr>
        <w:pStyle w:val="Heading2"/>
        <w:pBdr>
          <w:left w:color="c9a84c" w:space="10" w:sz="10" w:val="single"/>
        </w:pBdr>
        <w:spacing w:after="180" w:before="360" w:line="360" w:lineRule="auto"/>
        <w:ind w:left="200" w:firstLine="0"/>
        <w:jc w:val="left"/>
        <w:rPr/>
      </w:pPr>
      <w:bookmarkStart w:colFirst="0" w:colLast="0" w:name="_yxjvbi942s07" w:id="30"/>
      <w:bookmarkEnd w:id="30"/>
      <w:r w:rsidDel="00000000" w:rsidR="00000000" w:rsidRPr="00000000">
        <w:rPr>
          <w:rFonts w:ascii="Times New Roman" w:cs="Times New Roman" w:eastAsia="Times New Roman" w:hAnsi="Times New Roman"/>
          <w:b/>
          <w:bCs w:val="1"/>
          <w:color w:val="0E7FA8"/>
          <w:sz w:val="30"/>
          <w:szCs w:val="30"/>
          <w:rtl w:val="0"/>
        </w:rPr>
        <w:t xml:space="preserve">6.4 Spacing Ratio and Spectral Correlations</w:t>
      </w:r>
      <w:r w:rsidDel="00000000" w:rsidR="00000000" w:rsidRPr="00000000">
        <w:rPr>
          <w:b/>
          <w:color w:val="0E7FA8"/>
          <w:rtl w:val="0"/>
        </w:rPr>
      </w:r>
    </w:p>
    <w:p w:rsidR="00000000" w:rsidDel="00000000" w:rsidP="00000000" w:rsidRDefault="00000000" w:rsidRPr="00000000" w14:paraId="0000012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sensitive test for universal level statistics in the eigenvalue spectrum. Figure 6-3 shows the empirical spacing ratio distribution for bulk eigenvalues of LLM activation covariance matrices, compared with theoretical predictions for Poisson, GUE, and Wishart ensembles. The empirical distribution falls between the Poisson and GUE predictions, suggesting that LLM activations exhibit partial spectral correlations: more structured than pure random noise (which would follow Poisson statistics) but less rigid than the universal GUE prediction. This intermediate behavior is consistent with the Wishart ensemble prediction, which accounts for the product structure of covariance matrices.</w:t>
      </w:r>
      <w:r w:rsidDel="00000000" w:rsidR="00000000" w:rsidRPr="00000000">
        <w:rPr>
          <w:rtl w:val="0"/>
        </w:rPr>
      </w:r>
    </w:p>
    <w:p w:rsidR="00000000" w:rsidDel="00000000" w:rsidP="00000000" w:rsidRDefault="00000000" w:rsidRPr="00000000" w14:paraId="00000128">
      <w:pPr>
        <w:spacing w:after="100" w:before="200" w:lineRule="auto"/>
        <w:jc w:val="center"/>
        <w:rPr/>
      </w:pPr>
      <w:r w:rsidDel="00000000" w:rsidR="00000000" w:rsidRPr="00000000">
        <w:rPr/>
        <w:drawing>
          <wp:inline distB="0" distT="0" distL="0" distR="0">
            <wp:extent cx="4381500" cy="2867025"/>
            <wp:effectExtent b="0" l="0" r="0" t="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381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6-3: Spacing ratio distribution with universal predictions</w:t>
      </w:r>
      <w:r w:rsidDel="00000000" w:rsidR="00000000" w:rsidRPr="00000000">
        <w:rPr>
          <w:rtl w:val="0"/>
        </w:rPr>
      </w:r>
    </w:p>
    <w:p w:rsidR="00000000" w:rsidDel="00000000" w:rsidP="00000000" w:rsidRDefault="00000000" w:rsidRPr="00000000" w14:paraId="0000012A">
      <w:pPr>
        <w:pStyle w:val="Heading2"/>
        <w:pBdr>
          <w:left w:color="c9a84c" w:space="10" w:sz="10" w:val="single"/>
        </w:pBdr>
        <w:spacing w:after="180" w:before="360" w:line="360" w:lineRule="auto"/>
        <w:ind w:left="200" w:firstLine="0"/>
        <w:jc w:val="left"/>
        <w:rPr/>
      </w:pPr>
      <w:bookmarkStart w:colFirst="0" w:colLast="0" w:name="_fw0wii17lvpo" w:id="31"/>
      <w:bookmarkEnd w:id="31"/>
      <w:r w:rsidDel="00000000" w:rsidR="00000000" w:rsidRPr="00000000">
        <w:rPr>
          <w:rFonts w:ascii="Times New Roman" w:cs="Times New Roman" w:eastAsia="Times New Roman" w:hAnsi="Times New Roman"/>
          <w:b/>
          <w:bCs w:val="1"/>
          <w:color w:val="0E7FA8"/>
          <w:sz w:val="30"/>
          <w:szCs w:val="30"/>
          <w:rtl w:val="0"/>
        </w:rPr>
        <w:t xml:space="preserve">6.5 BBP Transition Schematic</w:t>
      </w:r>
      <w:r w:rsidDel="00000000" w:rsidR="00000000" w:rsidRPr="00000000">
        <w:rPr>
          <w:b/>
          <w:color w:val="0E7FA8"/>
          <w:rtl w:val="0"/>
        </w:rPr>
      </w:r>
    </w:p>
    <w:p w:rsidR="00000000" w:rsidDel="00000000" w:rsidP="00000000" w:rsidRDefault="00000000" w:rsidRPr="00000000" w14:paraId="0000012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6-4 illustrates the three regimes of the BBP phase transition as applied to LLM activation analysis. In the sub-critical regime (sigma &lt; sigma_c), all eigenvalues are contained within the bulk, and no individual direction carries sufficient variance to be distinguished from noise. This corresponds to creative generation, where the model's representation is distributed across many directions. In the critical regime (sigma = sigma_c), the largest eigenvalue sits precisely at the bulk edge, representing the threshold between factual and creative generation. In the super-critical regime (sigma &gt; sigma_c), the largest eigenvalue has separated from the bulk as an isolated outlier, corresponding to factual generation where a single dominant direction captures the structured signal component.</w:t>
      </w:r>
      <w:r w:rsidDel="00000000" w:rsidR="00000000" w:rsidRPr="00000000">
        <w:rPr>
          <w:rtl w:val="0"/>
        </w:rPr>
      </w:r>
    </w:p>
    <w:p w:rsidR="00000000" w:rsidDel="00000000" w:rsidP="00000000" w:rsidRDefault="00000000" w:rsidRPr="00000000" w14:paraId="0000012C">
      <w:pPr>
        <w:spacing w:after="100" w:before="200" w:lineRule="auto"/>
        <w:jc w:val="center"/>
        <w:rPr/>
      </w:pPr>
      <w:r w:rsidDel="00000000" w:rsidR="00000000" w:rsidRPr="00000000">
        <w:rPr/>
        <w:drawing>
          <wp:inline distB="0" distT="0" distL="0" distR="0">
            <wp:extent cx="4572000" cy="1571625"/>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72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6-4: BBP phase transition schematic for LLM activations</w:t>
      </w:r>
      <w:r w:rsidDel="00000000" w:rsidR="00000000" w:rsidRPr="00000000">
        <w:rPr>
          <w:rtl w:val="0"/>
        </w:rPr>
      </w:r>
    </w:p>
    <w:p w:rsidR="00000000" w:rsidDel="00000000" w:rsidP="00000000" w:rsidRDefault="00000000" w:rsidRPr="00000000" w14:paraId="0000012E">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2F">
      <w:pPr>
        <w:pStyle w:val="Heading1"/>
        <w:pBdr>
          <w:bottom w:color="c9a84c" w:space="8" w:sz="4" w:val="single"/>
        </w:pBdr>
        <w:spacing w:after="240" w:before="480" w:line="400" w:lineRule="auto"/>
        <w:jc w:val="left"/>
        <w:rPr/>
      </w:pPr>
      <w:bookmarkStart w:colFirst="0" w:colLast="0" w:name="_38d62r26xqut" w:id="32"/>
      <w:bookmarkEnd w:id="32"/>
      <w:r w:rsidDel="00000000" w:rsidR="00000000" w:rsidRPr="00000000">
        <w:rPr>
          <w:rFonts w:ascii="Times New Roman" w:cs="Times New Roman" w:eastAsia="Times New Roman" w:hAnsi="Times New Roman"/>
          <w:b/>
          <w:bCs w:val="1"/>
          <w:color w:val="0A9B72"/>
          <w:sz w:val="36"/>
          <w:szCs w:val="36"/>
          <w:rtl w:val="0"/>
        </w:rPr>
        <w:t xml:space="preserve">7. Spectral Form Factor Analysis</w:t>
      </w:r>
      <w:r w:rsidDel="00000000" w:rsidR="00000000" w:rsidRPr="00000000">
        <w:rPr>
          <w:b/>
          <w:color w:val="0A9B72"/>
          <w:rtl w:val="0"/>
        </w:rPr>
      </w:r>
    </w:p>
    <w:p w:rsidR="00000000" w:rsidDel="00000000" w:rsidP="00000000" w:rsidRDefault="00000000" w:rsidRPr="00000000" w14:paraId="00000130">
      <w:pPr>
        <w:pStyle w:val="Heading2"/>
        <w:pBdr>
          <w:left w:color="c9a84c" w:space="10" w:sz="10" w:val="single"/>
        </w:pBdr>
        <w:spacing w:after="180" w:before="360" w:line="360" w:lineRule="auto"/>
        <w:ind w:left="200" w:firstLine="0"/>
        <w:jc w:val="left"/>
        <w:rPr/>
      </w:pPr>
      <w:bookmarkStart w:colFirst="0" w:colLast="0" w:name="_4acjb9ryrajf" w:id="33"/>
      <w:bookmarkEnd w:id="33"/>
      <w:r w:rsidDel="00000000" w:rsidR="00000000" w:rsidRPr="00000000">
        <w:rPr>
          <w:rFonts w:ascii="Times New Roman" w:cs="Times New Roman" w:eastAsia="Times New Roman" w:hAnsi="Times New Roman"/>
          <w:b/>
          <w:bCs w:val="1"/>
          <w:color w:val="0E7FA8"/>
          <w:sz w:val="30"/>
          <w:szCs w:val="30"/>
          <w:rtl w:val="0"/>
        </w:rPr>
        <w:t xml:space="preserve">7.1 Empirical Spectral Form Factor</w:t>
      </w:r>
      <w:r w:rsidDel="00000000" w:rsidR="00000000" w:rsidRPr="00000000">
        <w:rPr>
          <w:b/>
          <w:color w:val="0E7FA8"/>
          <w:rtl w:val="0"/>
        </w:rPr>
      </w:r>
    </w:p>
    <w:p w:rsidR="00000000" w:rsidDel="00000000" w:rsidP="00000000" w:rsidRDefault="00000000" w:rsidRPr="00000000" w14:paraId="0000013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form factor (SFF) provides a dynamic perspective on the spectral structure by analyzing the eigenvalue spectrum in the Fourier domain. Figure 7-1 shows the empirical SFF for both factual and creative generation modes, plotted on a logarithmic scale to highlight the power-law behavior in the slope and ramp regimes. The factual SFF exhibits a pronounced initial peak at short times (t ≈ 0.1-0.5), corresponding to the coherent oscillation driven by the dominant outlier eigenvalue. This peak is absent in the creative SFF, which shows a smooth, monotonic decay from the slope regime through the dip to the plateau. The dip time t_dip is shorter for factual generation (t_dip ≈ 0.5) than for creative generation (t_dip ≈ 2.0), reflecting the compressed spectral range in the factual case that brings the eigenvalue correlations into closer proximity.</w:t>
      </w:r>
      <w:r w:rsidDel="00000000" w:rsidR="00000000" w:rsidRPr="00000000">
        <w:rPr>
          <w:rtl w:val="0"/>
        </w:rPr>
      </w:r>
    </w:p>
    <w:p w:rsidR="00000000" w:rsidDel="00000000" w:rsidP="00000000" w:rsidRDefault="00000000" w:rsidRPr="00000000" w14:paraId="00000132">
      <w:pPr>
        <w:spacing w:after="100" w:before="200" w:lineRule="auto"/>
        <w:jc w:val="center"/>
        <w:rPr/>
      </w:pPr>
      <w:r w:rsidDel="00000000" w:rsidR="00000000" w:rsidRPr="00000000">
        <w:rPr/>
        <w:drawing>
          <wp:inline distB="0" distT="0" distL="0" distR="0">
            <wp:extent cx="4381500" cy="5448300"/>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3815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7-1: Spectral form factor comparison</w:t>
      </w:r>
      <w:r w:rsidDel="00000000" w:rsidR="00000000" w:rsidRPr="00000000">
        <w:rPr>
          <w:rtl w:val="0"/>
        </w:rPr>
      </w:r>
    </w:p>
    <w:p w:rsidR="00000000" w:rsidDel="00000000" w:rsidP="00000000" w:rsidRDefault="00000000" w:rsidRPr="00000000" w14:paraId="0000013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plateau value K_plateau provides a direct measure of the effective dimensionality of the spectral space. For factual generation, K_plateau ≈ 0.01 (corresponding to an effective dimension of ~100), while for creative generation, K_plateau ≈ 0.003 (effective dimension ~300). These values are consistent with the PR measurements reported in Section 4 and provide independent confirmation of the spectral concentration in factual generation versus the distributed structure in creative generation.</w:t>
      </w:r>
      <w:r w:rsidDel="00000000" w:rsidR="00000000" w:rsidRPr="00000000">
        <w:rPr>
          <w:rtl w:val="0"/>
        </w:rPr>
      </w:r>
    </w:p>
    <w:p w:rsidR="00000000" w:rsidDel="00000000" w:rsidP="00000000" w:rsidRDefault="00000000" w:rsidRPr="00000000" w14:paraId="00000135">
      <w:pPr>
        <w:pStyle w:val="Heading2"/>
        <w:pBdr>
          <w:left w:color="c9a84c" w:space="10" w:sz="10" w:val="single"/>
        </w:pBdr>
        <w:spacing w:after="180" w:before="360" w:line="360" w:lineRule="auto"/>
        <w:ind w:left="200" w:firstLine="0"/>
        <w:jc w:val="left"/>
        <w:rPr/>
      </w:pPr>
      <w:bookmarkStart w:colFirst="0" w:colLast="0" w:name="_teovg15kkggj" w:id="34"/>
      <w:bookmarkEnd w:id="34"/>
      <w:r w:rsidDel="00000000" w:rsidR="00000000" w:rsidRPr="00000000">
        <w:rPr>
          <w:rFonts w:ascii="Times New Roman" w:cs="Times New Roman" w:eastAsia="Times New Roman" w:hAnsi="Times New Roman"/>
          <w:b/>
          <w:bCs w:val="1"/>
          <w:color w:val="0E7FA8"/>
          <w:sz w:val="30"/>
          <w:szCs w:val="30"/>
          <w:rtl w:val="0"/>
        </w:rPr>
        <w:t xml:space="preserve">7.2 Comprehensive Spectral Metrics Heatmap</w:t>
      </w:r>
      <w:r w:rsidDel="00000000" w:rsidR="00000000" w:rsidRPr="00000000">
        <w:rPr>
          <w:b/>
          <w:color w:val="0E7FA8"/>
          <w:rtl w:val="0"/>
        </w:rPr>
      </w:r>
    </w:p>
    <w:p w:rsidR="00000000" w:rsidDel="00000000" w:rsidP="00000000" w:rsidRDefault="00000000" w:rsidRPr="00000000" w14:paraId="0000013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7-2 presents a comprehensive heatmap of all spectral metrics across GPT-2 layers for factual prompts, providing a holistic view of the spectral evolution. The heatmap reveals the coordinated evolution of all metrics: as layers progress from L1 to L12, PR decreases, SNR increases, S_spec decreases, lambda_max/lambda_+ increases, IPR increases, and the Tracy-Widom statistic first increases (reaching a peak at the critical layers L6-L7) then decreases. The non-monotonic behavior of the Tracy-Widom statistic is particularly noteworthy, as it suggests that the spectral edge fluctuations are largest at the critical layers, consistent with the enhanced susceptibility expected near a phase transition.</w:t>
      </w:r>
      <w:r w:rsidDel="00000000" w:rsidR="00000000" w:rsidRPr="00000000">
        <w:rPr>
          <w:rtl w:val="0"/>
        </w:rPr>
      </w:r>
    </w:p>
    <w:p w:rsidR="00000000" w:rsidDel="00000000" w:rsidP="00000000" w:rsidRDefault="00000000" w:rsidRPr="00000000" w14:paraId="00000137">
      <w:pPr>
        <w:spacing w:after="100" w:before="200" w:lineRule="auto"/>
        <w:jc w:val="center"/>
        <w:rPr/>
      </w:pPr>
      <w:r w:rsidDel="00000000" w:rsidR="00000000" w:rsidRPr="00000000">
        <w:rPr/>
        <w:drawing>
          <wp:inline distB="0" distT="0" distL="0" distR="0">
            <wp:extent cx="4572000" cy="2638425"/>
            <wp:effectExtent b="0" l="0" r="0" 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572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Figure 7-2: Comprehensive spectral metrics heatmap across GPT-2 layers</w:t>
      </w:r>
      <w:r w:rsidDel="00000000" w:rsidR="00000000" w:rsidRPr="00000000">
        <w:rPr>
          <w:rtl w:val="0"/>
        </w:rPr>
      </w:r>
    </w:p>
    <w:p w:rsidR="00000000" w:rsidDel="00000000" w:rsidP="00000000" w:rsidRDefault="00000000" w:rsidRPr="00000000" w14:paraId="00000139">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3A">
      <w:pPr>
        <w:pStyle w:val="Heading1"/>
        <w:pBdr>
          <w:bottom w:color="c9a84c" w:space="8" w:sz="4" w:val="single"/>
        </w:pBdr>
        <w:spacing w:after="240" w:before="480" w:line="400" w:lineRule="auto"/>
        <w:jc w:val="left"/>
        <w:rPr/>
      </w:pPr>
      <w:bookmarkStart w:colFirst="0" w:colLast="0" w:name="_5eyi2peyh417" w:id="35"/>
      <w:bookmarkEnd w:id="35"/>
      <w:r w:rsidDel="00000000" w:rsidR="00000000" w:rsidRPr="00000000">
        <w:rPr>
          <w:rFonts w:ascii="Times New Roman" w:cs="Times New Roman" w:eastAsia="Times New Roman" w:hAnsi="Times New Roman"/>
          <w:b/>
          <w:bCs w:val="1"/>
          <w:color w:val="0A9B72"/>
          <w:sz w:val="36"/>
          <w:szCs w:val="36"/>
          <w:rtl w:val="0"/>
        </w:rPr>
        <w:t xml:space="preserve">8. Discussion</w:t>
      </w:r>
      <w:r w:rsidDel="00000000" w:rsidR="00000000" w:rsidRPr="00000000">
        <w:rPr>
          <w:b/>
          <w:color w:val="0A9B72"/>
          <w:rtl w:val="0"/>
        </w:rPr>
      </w:r>
    </w:p>
    <w:p w:rsidR="00000000" w:rsidDel="00000000" w:rsidP="00000000" w:rsidRDefault="00000000" w:rsidRPr="00000000" w14:paraId="0000013B">
      <w:pPr>
        <w:pStyle w:val="Heading2"/>
        <w:pBdr>
          <w:left w:color="c9a84c" w:space="10" w:sz="10" w:val="single"/>
        </w:pBdr>
        <w:spacing w:after="180" w:before="360" w:line="360" w:lineRule="auto"/>
        <w:ind w:left="200" w:firstLine="0"/>
        <w:jc w:val="left"/>
        <w:rPr/>
      </w:pPr>
      <w:bookmarkStart w:colFirst="0" w:colLast="0" w:name="_y25l6959ypva" w:id="36"/>
      <w:bookmarkEnd w:id="36"/>
      <w:r w:rsidDel="00000000" w:rsidR="00000000" w:rsidRPr="00000000">
        <w:rPr>
          <w:rFonts w:ascii="Times New Roman" w:cs="Times New Roman" w:eastAsia="Times New Roman" w:hAnsi="Times New Roman"/>
          <w:b/>
          <w:bCs w:val="1"/>
          <w:color w:val="0E7FA8"/>
          <w:sz w:val="30"/>
          <w:szCs w:val="30"/>
          <w:rtl w:val="0"/>
        </w:rPr>
        <w:t xml:space="preserve">8.1 Implications for LLM Interpretability</w:t>
      </w:r>
      <w:r w:rsidDel="00000000" w:rsidR="00000000" w:rsidRPr="00000000">
        <w:rPr>
          <w:b/>
          <w:color w:val="0E7FA8"/>
          <w:rtl w:val="0"/>
        </w:rPr>
      </w:r>
    </w:p>
    <w:p w:rsidR="00000000" w:rsidDel="00000000" w:rsidP="00000000" w:rsidRDefault="00000000" w:rsidRPr="00000000" w14:paraId="0000013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findings have several important implications for the interpretability and control of large language models. First, the spectral signatures we have identified provide a principled, quantitative method for detecting the generation mode of an LLM without requiring access to the model's output or explicit probing. By computing the covariance matrix of hidden-state activations and analyzing its eigenvalue spectrum, one can determine whether the model is operating in a factual or creative regime at any given layer and for any given input. This capability could be valuable for real-time monitoring of LLM behavior in safety-critical applications, where distinguishing factual recall from creative confabulation is essential.</w:t>
      </w:r>
      <w:r w:rsidDel="00000000" w:rsidR="00000000" w:rsidRPr="00000000">
        <w:rPr>
          <w:rtl w:val="0"/>
        </w:rPr>
      </w:r>
    </w:p>
    <w:p w:rsidR="00000000" w:rsidDel="00000000" w:rsidP="00000000" w:rsidRDefault="00000000" w:rsidRPr="00000000" w14:paraId="0000013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Second, the BBP phase transition provides a natural threshold for detecting when an LLM transitions from reliable factual generation to unreliable creative generation. By monitoring the lambda_max/lambda_+ ratio during generation, one could implement a spectral “alarm” that triggers when the ratio drops below a critical threshold, signaling that the model has left the factual regime and may produce unreliable output. This approach is fundamentally different from existing methods for hallucination detection, which typically rely on output-level heuristics such as token probability or consistency checks, and instead probes the model's internal activation dynamics directly.</w:t>
      </w:r>
      <w:r w:rsidDel="00000000" w:rsidR="00000000" w:rsidRPr="00000000">
        <w:rPr>
          <w:rtl w:val="0"/>
        </w:rPr>
      </w:r>
    </w:p>
    <w:p w:rsidR="00000000" w:rsidDel="00000000" w:rsidP="00000000" w:rsidRDefault="00000000" w:rsidRPr="00000000" w14:paraId="0000013E">
      <w:pPr>
        <w:pStyle w:val="Heading2"/>
        <w:pBdr>
          <w:left w:color="c9a84c" w:space="10" w:sz="10" w:val="single"/>
        </w:pBdr>
        <w:spacing w:after="180" w:before="360" w:line="360" w:lineRule="auto"/>
        <w:ind w:left="200" w:firstLine="0"/>
        <w:jc w:val="left"/>
        <w:rPr/>
      </w:pPr>
      <w:bookmarkStart w:colFirst="0" w:colLast="0" w:name="_36s1rrroog6j" w:id="37"/>
      <w:bookmarkEnd w:id="37"/>
      <w:r w:rsidDel="00000000" w:rsidR="00000000" w:rsidRPr="00000000">
        <w:rPr>
          <w:rFonts w:ascii="Times New Roman" w:cs="Times New Roman" w:eastAsia="Times New Roman" w:hAnsi="Times New Roman"/>
          <w:b/>
          <w:bCs w:val="1"/>
          <w:color w:val="0E7FA8"/>
          <w:sz w:val="30"/>
          <w:szCs w:val="30"/>
          <w:rtl w:val="0"/>
        </w:rPr>
        <w:t xml:space="preserve">8.2 Connections to Other Work</w:t>
      </w:r>
      <w:r w:rsidDel="00000000" w:rsidR="00000000" w:rsidRPr="00000000">
        <w:rPr>
          <w:b/>
          <w:color w:val="0E7FA8"/>
          <w:rtl w:val="0"/>
        </w:rPr>
      </w:r>
    </w:p>
    <w:p w:rsidR="00000000" w:rsidDel="00000000" w:rsidP="00000000" w:rsidRDefault="00000000" w:rsidRPr="00000000" w14:paraId="0000013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work connects to several active research areas in the intersection of physics and machine learning. The application of RMT to neural network weight matrices has been explored by Martin and Mahoney (2021), who showed that the spectral structure of trained network weights deviates systematically from random matrix predictions in ways that correlate with generalization performance. Our work extends this line of inquiry from weight matrices to activation matrices, showing that the spectral structure of activations (rather than weights) carries information about the model's computational mode. This distinction is crucial because weight matrices are static properties of the model, while activation matrices are dynamic properties that vary with each input, making them more informative about the model's real-time behavior.</w:t>
      </w:r>
      <w:r w:rsidDel="00000000" w:rsidR="00000000" w:rsidRPr="00000000">
        <w:rPr>
          <w:rtl w:val="0"/>
        </w:rPr>
      </w:r>
    </w:p>
    <w:p w:rsidR="00000000" w:rsidDel="00000000" w:rsidP="00000000" w:rsidRDefault="00000000" w:rsidRPr="00000000" w14:paraId="0000014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thermodynamic analogy we have developed connects to the growing body of work on “sloppy models” and effective theories in complex systems. In sloppy models, the parameter space has a hierarchy of stiff and sloppy directions, with only a few stiff directions significantly affecting model predictions. Our spectral analysis reveals that LLM activations exhibit exactly this structure in the factual regime: the dominant eigenvector (stiff direction) carries the factual signal, while the remaining eigenvectors (sloppy directions) contribute primarily noise. The creative regime, by contrast, has no clear stiff-sloppy hierarchy, with all directions contributing comparably to the model's output.</w:t>
      </w:r>
      <w:r w:rsidDel="00000000" w:rsidR="00000000" w:rsidRPr="00000000">
        <w:rPr>
          <w:rtl w:val="0"/>
        </w:rPr>
      </w:r>
    </w:p>
    <w:p w:rsidR="00000000" w:rsidDel="00000000" w:rsidP="00000000" w:rsidRDefault="00000000" w:rsidRPr="00000000" w14:paraId="00000141">
      <w:pPr>
        <w:pStyle w:val="Heading2"/>
        <w:pBdr>
          <w:left w:color="c9a84c" w:space="10" w:sz="10" w:val="single"/>
        </w:pBdr>
        <w:spacing w:after="180" w:before="360" w:line="360" w:lineRule="auto"/>
        <w:ind w:left="200" w:firstLine="0"/>
        <w:jc w:val="left"/>
        <w:rPr/>
      </w:pPr>
      <w:bookmarkStart w:colFirst="0" w:colLast="0" w:name="_axrgad7rq16d" w:id="38"/>
      <w:bookmarkEnd w:id="38"/>
      <w:r w:rsidDel="00000000" w:rsidR="00000000" w:rsidRPr="00000000">
        <w:rPr>
          <w:rFonts w:ascii="Times New Roman" w:cs="Times New Roman" w:eastAsia="Times New Roman" w:hAnsi="Times New Roman"/>
          <w:b/>
          <w:bCs w:val="1"/>
          <w:color w:val="0E7FA8"/>
          <w:sz w:val="30"/>
          <w:szCs w:val="30"/>
          <w:rtl w:val="0"/>
        </w:rPr>
        <w:t xml:space="preserve">8.3 Limitations</w:t>
      </w:r>
      <w:r w:rsidDel="00000000" w:rsidR="00000000" w:rsidRPr="00000000">
        <w:rPr>
          <w:b/>
          <w:color w:val="0E7FA8"/>
          <w:rtl w:val="0"/>
        </w:rPr>
      </w:r>
    </w:p>
    <w:p w:rsidR="00000000" w:rsidDel="00000000" w:rsidP="00000000" w:rsidRDefault="00000000" w:rsidRPr="00000000" w14:paraId="0000014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limitations of our work should be acknowledged. First, our analysis is limited to GPT-2 (124M parameters), and it remains to be verified whether the spectral signatures we have identified scale to larger models such as GPT-3, GPT-4, or LLaMA. While RMT predictions are universal in the asymptotic limit, finite-size effects may alter the spectral structure in models with different architectures or scales. Second, our prompt sets, while carefully designed, cover only a limited range of factual and creative content, and more comprehensive evaluations are needed to assess the robustness of the spectral signatures across diverse domains and languages.</w:t>
      </w:r>
      <w:r w:rsidDel="00000000" w:rsidR="00000000" w:rsidRPr="00000000">
        <w:rPr>
          <w:rtl w:val="0"/>
        </w:rPr>
      </w:r>
    </w:p>
    <w:p w:rsidR="00000000" w:rsidDel="00000000" w:rsidP="00000000" w:rsidRDefault="00000000" w:rsidRPr="00000000" w14:paraId="0000014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Third, the connection between spectral signatures and model behavior is correlational rather than causal. While we have shown that factual generation produces spectral signatures consistent with the BBP transition, we have not demonstrated that manipulating the spectrum (e.g., by projecting out the dominant eigenvector) causally affects the model's generation mode. Establishing this causal link would require intervention experiments that go beyond the observational analysis presented here. Fourth, the thermodynamic analogy, while conceptually illuminating, should not be taken too literally: the “temperature” in the free energy framework is the generation temperature (a model parameter), not a physical temperature, and the “phase transition” is a mathematical analogy rather than a physical phenomenon.</w:t>
      </w:r>
      <w:r w:rsidDel="00000000" w:rsidR="00000000" w:rsidRPr="00000000">
        <w:rPr>
          <w:rtl w:val="0"/>
        </w:rPr>
      </w:r>
    </w:p>
    <w:p w:rsidR="00000000" w:rsidDel="00000000" w:rsidP="00000000" w:rsidRDefault="00000000" w:rsidRPr="00000000" w14:paraId="00000144">
      <w:pPr>
        <w:pStyle w:val="Heading2"/>
        <w:pBdr>
          <w:left w:color="c9a84c" w:space="10" w:sz="10" w:val="single"/>
        </w:pBdr>
        <w:spacing w:after="180" w:before="360" w:line="360" w:lineRule="auto"/>
        <w:ind w:left="200" w:firstLine="0"/>
        <w:jc w:val="left"/>
        <w:rPr/>
      </w:pPr>
      <w:bookmarkStart w:colFirst="0" w:colLast="0" w:name="_320463hdzmvt" w:id="39"/>
      <w:bookmarkEnd w:id="39"/>
      <w:r w:rsidDel="00000000" w:rsidR="00000000" w:rsidRPr="00000000">
        <w:rPr>
          <w:rFonts w:ascii="Times New Roman" w:cs="Times New Roman" w:eastAsia="Times New Roman" w:hAnsi="Times New Roman"/>
          <w:b/>
          <w:bCs w:val="1"/>
          <w:color w:val="0E7FA8"/>
          <w:sz w:val="30"/>
          <w:szCs w:val="30"/>
          <w:rtl w:val="0"/>
        </w:rPr>
        <w:t xml:space="preserve">8.4 Future Directions</w:t>
      </w:r>
      <w:r w:rsidDel="00000000" w:rsidR="00000000" w:rsidRPr="00000000">
        <w:rPr>
          <w:b/>
          <w:color w:val="0E7FA8"/>
          <w:rtl w:val="0"/>
        </w:rPr>
      </w:r>
    </w:p>
    <w:p w:rsidR="00000000" w:rsidDel="00000000" w:rsidP="00000000" w:rsidRDefault="00000000" w:rsidRPr="00000000" w14:paraId="0000014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promising directions emerge from this work. First, the extension to larger models (GPT-3, GPT-4, LLaMA) would test the universality of the spectral signatures and potentially reveal new phenomena at scale. Second, causal intervention experiments—such as projecting out specific eigenvectors from the activation space or injecting artificial signal components—would establish the causal role of spectral structure in generation mode. Third, the development of real-time spectral monitoring tools would enable practical applications in LLM safety and alignment, allowing dynamic detection of mode transitions during generation. Fourth, the connection between spectral metrics and information-theoretic quantities suggests that the free energy framework could be extended to include additional terms (e.g., a “spectral pressure” term related to the model's confidence), providing a more complete thermodynamic description of LLM activation dynamics.</w:t>
      </w:r>
      <w:r w:rsidDel="00000000" w:rsidR="00000000" w:rsidRPr="00000000">
        <w:rPr>
          <w:rtl w:val="0"/>
        </w:rPr>
      </w:r>
    </w:p>
    <w:p w:rsidR="00000000" w:rsidDel="00000000" w:rsidP="00000000" w:rsidRDefault="00000000" w:rsidRPr="00000000" w14:paraId="00000146">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47">
      <w:pPr>
        <w:pStyle w:val="Heading1"/>
        <w:pBdr>
          <w:bottom w:color="c9a84c" w:space="8" w:sz="4" w:val="single"/>
        </w:pBdr>
        <w:spacing w:after="240" w:before="480" w:line="400" w:lineRule="auto"/>
        <w:jc w:val="left"/>
        <w:rPr/>
      </w:pPr>
      <w:bookmarkStart w:colFirst="0" w:colLast="0" w:name="_kt2yq1q1yrc" w:id="40"/>
      <w:bookmarkEnd w:id="40"/>
      <w:r w:rsidDel="00000000" w:rsidR="00000000" w:rsidRPr="00000000">
        <w:rPr>
          <w:rFonts w:ascii="Times New Roman" w:cs="Times New Roman" w:eastAsia="Times New Roman" w:hAnsi="Times New Roman"/>
          <w:b/>
          <w:bCs w:val="1"/>
          <w:color w:val="0A9B72"/>
          <w:sz w:val="36"/>
          <w:szCs w:val="36"/>
          <w:rtl w:val="0"/>
        </w:rPr>
        <w:t xml:space="preserve">9. Conclusions</w:t>
      </w:r>
      <w:r w:rsidDel="00000000" w:rsidR="00000000" w:rsidRPr="00000000">
        <w:rPr>
          <w:b/>
          <w:color w:val="0A9B72"/>
          <w:rtl w:val="0"/>
        </w:rPr>
      </w:r>
    </w:p>
    <w:p w:rsidR="00000000" w:rsidDel="00000000" w:rsidP="00000000" w:rsidRDefault="00000000" w:rsidRPr="00000000" w14:paraId="0000014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have presented a comprehensive application of Random Matrix Theory to the analysis of activation matrices in large language models, demonstrating that the spectral properties of covariance matrices formed from GPT-2 hidden-state activations provide a principled and robust method for distinguishing between factual and creative generation modes. The key findings of this work can be summarized as follows.</w:t>
      </w:r>
      <w:r w:rsidDel="00000000" w:rsidR="00000000" w:rsidRPr="00000000">
        <w:rPr>
          <w:rtl w:val="0"/>
        </w:rPr>
      </w:r>
    </w:p>
    <w:tbl>
      <w:tblPr>
        <w:tblStyle w:val="Table2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0"/>
        <w:gridCol w:w="6240"/>
        <w:tblGridChange w:id="0">
          <w:tblGrid>
            <w:gridCol w:w="2550"/>
            <w:gridCol w:w="624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c9a84c"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color w:val="1a1a1a"/>
                <w:sz w:val="22"/>
                <w:szCs w:val="22"/>
                <w:rtl w:val="0"/>
              </w:rPr>
              <w:t xml:space="preserve">Key Results Summary</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8b7535"/>
                <w:sz w:val="20"/>
                <w:szCs w:val="20"/>
                <w:rtl w:val="0"/>
              </w:rPr>
              <w:t xml:space="preserve">1. Marchenko-Pastur Validity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1a1a14"/>
                <w:sz w:val="20"/>
                <w:szCs w:val="20"/>
                <w:rtl w:val="0"/>
              </w:rPr>
              <w:t xml:space="preserve">The MP law accurately describes the bulk eigenvalue spectrum of LLM activation covariance matrices, providing a well-calibrated null model for detecting structured signals.</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8b7535"/>
                <w:sz w:val="20"/>
                <w:szCs w:val="20"/>
                <w:rtl w:val="0"/>
              </w:rPr>
              <w:t xml:space="preserve">2. BBP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1a1a14"/>
                <w:sz w:val="20"/>
                <w:szCs w:val="20"/>
                <w:rtl w:val="0"/>
              </w:rPr>
              <w:t xml:space="preserve">Factual generation produces a clear BBP transition with lambda_max/lambda_+ &gt; 3.5, while creative generation remains in the sub-critical regime with lambda_max/lambda_+ &lt; 1.5.</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color w:val="8b7535"/>
                <w:sz w:val="20"/>
                <w:szCs w:val="20"/>
                <w:rtl w:val="0"/>
              </w:rPr>
              <w:t xml:space="preserve">3. Spectral Free Energy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color w:val="1a1a14"/>
                <w:sz w:val="20"/>
                <w:szCs w:val="20"/>
                <w:rtl w:val="0"/>
              </w:rPr>
              <w:t xml:space="preserve">F = U - TS_spec naturally distinguishes factual (F &lt; 0, bound state) from creative (F ≈ 0, gas state) phases, providing a thermodynamic framework for generation mode classification.</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8b7535"/>
                <w:sz w:val="20"/>
                <w:szCs w:val="20"/>
                <w:rtl w:val="0"/>
              </w:rPr>
              <w:t xml:space="preserve">4. RG Flow</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color w:val="1a1a14"/>
                <w:sz w:val="20"/>
                <w:szCs w:val="20"/>
                <w:rtl w:val="0"/>
              </w:rPr>
              <w:t xml:space="preserve">Layer-wise spectral evolution follows RG flow trajectories with two fixed points (factual and creative) and a critical region at layers 5-8.</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8b7535"/>
                <w:sz w:val="20"/>
                <w:szCs w:val="20"/>
                <w:rtl w:val="0"/>
              </w:rPr>
              <w:t xml:space="preserve">5. Temperature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color w:val="1a1a14"/>
                <w:sz w:val="20"/>
                <w:szCs w:val="20"/>
                <w:rtl w:val="0"/>
              </w:rPr>
              <w:t xml:space="preserve">Continuous spectral phase transition at T ≈ 1.0 confirms the thermodynamic interpretation.</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8b7535"/>
                <w:sz w:val="20"/>
                <w:szCs w:val="20"/>
                <w:rtl w:val="0"/>
              </w:rPr>
              <w:t xml:space="preserve">6. Multi-Metric Consistency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color w:val="1a1a14"/>
                <w:sz w:val="20"/>
                <w:szCs w:val="20"/>
                <w:rtl w:val="0"/>
              </w:rPr>
              <w:t xml:space="preserve">All spectral metrics (PR, SNR, S_spec, IPR, SFF, TW) consistently distinguish factual from creative generation.</w:t>
            </w:r>
            <w:r w:rsidDel="00000000" w:rsidR="00000000" w:rsidRPr="00000000">
              <w:rPr>
                <w:rtl w:val="0"/>
              </w:rPr>
            </w:r>
          </w:p>
        </w:tc>
      </w:tr>
    </w:tbl>
    <w:p w:rsidR="00000000" w:rsidDel="00000000" w:rsidP="00000000" w:rsidRDefault="00000000" w:rsidRPr="00000000" w14:paraId="00000157">
      <w:pPr>
        <w:spacing w:after="200" w:lineRule="auto"/>
        <w:rPr/>
      </w:pPr>
      <w:r w:rsidDel="00000000" w:rsidR="00000000" w:rsidRPr="00000000">
        <w:rPr>
          <w:rtl w:val="0"/>
        </w:rPr>
      </w:r>
    </w:p>
    <w:p w:rsidR="00000000" w:rsidDel="00000000" w:rsidP="00000000" w:rsidRDefault="00000000" w:rsidRPr="00000000" w14:paraId="0000015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These results establish RMT as a powerful and theoretically grounded framework for analyzing LLM activation dynamics, opening new avenues for interpretability, safety monitoring, and the physics of neural computation. The spectral perspective reveals that the distinction between factual and creative generation is not merely a linguistic or behavioral phenomenon but is deeply rooted in the mathematical structure of the model's internal representations, with the BBP phase transition serving as the fundamental organizing principle.</w:t>
      </w:r>
      <w:r w:rsidDel="00000000" w:rsidR="00000000" w:rsidRPr="00000000">
        <w:rPr>
          <w:rtl w:val="0"/>
        </w:rPr>
      </w:r>
    </w:p>
    <w:p w:rsidR="00000000" w:rsidDel="00000000" w:rsidP="00000000" w:rsidRDefault="00000000" w:rsidRPr="00000000" w14:paraId="00000159">
      <w:pPr>
        <w:spacing w:after="300" w:before="300" w:lineRule="auto"/>
        <w:jc w:val="center"/>
        <w:rPr/>
      </w:pPr>
      <w:r w:rsidDel="00000000" w:rsidR="00000000" w:rsidRPr="00000000">
        <w:rPr>
          <w:rFonts w:ascii="Times New Roman" w:cs="Times New Roman" w:eastAsia="Times New Roman" w:hAnsi="Times New Roman"/>
          <w:color w:val="0F8F6B"/>
          <w:sz w:val="20"/>
          <w:szCs w:val="20"/>
          <w:rtl w:val="0"/>
        </w:rPr>
        <w:t xml:space="preserve">◆   </w:t>
      </w:r>
      <w:r w:rsidDel="00000000" w:rsidR="00000000" w:rsidRPr="00000000">
        <w:rPr>
          <w:rFonts w:ascii="Times New Roman" w:cs="Times New Roman" w:eastAsia="Times New Roman" w:hAnsi="Times New Roman"/>
          <w:color w:val="0B6E54"/>
          <w:sz w:val="16"/>
          <w:szCs w:val="16"/>
          <w:rtl w:val="0"/>
        </w:rPr>
        <w:t xml:space="preserve">◆   </w:t>
      </w:r>
      <w:r w:rsidDel="00000000" w:rsidR="00000000" w:rsidRPr="00000000">
        <w:rPr>
          <w:rFonts w:ascii="Times New Roman" w:cs="Times New Roman" w:eastAsia="Times New Roman" w:hAnsi="Times New Roman"/>
          <w:color w:val="0F8F6B"/>
          <w:sz w:val="20"/>
          <w:szCs w:val="20"/>
          <w:rtl w:val="0"/>
        </w:rPr>
        <w:t xml:space="preserve">◆</w:t>
      </w:r>
      <w:r w:rsidDel="00000000" w:rsidR="00000000" w:rsidRPr="00000000">
        <w:rPr>
          <w:rtl w:val="0"/>
        </w:rPr>
      </w:r>
    </w:p>
    <w:p w:rsidR="00000000" w:rsidDel="00000000" w:rsidP="00000000" w:rsidRDefault="00000000" w:rsidRPr="00000000" w14:paraId="0000015A">
      <w:pPr>
        <w:pStyle w:val="Heading1"/>
        <w:pBdr>
          <w:bottom w:color="c9a84c" w:space="8" w:sz="4" w:val="single"/>
        </w:pBdr>
        <w:spacing w:after="240" w:before="480" w:line="400" w:lineRule="auto"/>
        <w:jc w:val="left"/>
        <w:rPr/>
      </w:pPr>
      <w:bookmarkStart w:colFirst="0" w:colLast="0" w:name="_uja7un2st737" w:id="41"/>
      <w:bookmarkEnd w:id="41"/>
      <w:r w:rsidDel="00000000" w:rsidR="00000000" w:rsidRPr="00000000">
        <w:rPr>
          <w:rFonts w:ascii="Times New Roman" w:cs="Times New Roman" w:eastAsia="Times New Roman" w:hAnsi="Times New Roman"/>
          <w:b/>
          <w:bCs w:val="1"/>
          <w:color w:val="0A9B72"/>
          <w:sz w:val="36"/>
          <w:szCs w:val="36"/>
          <w:rtl w:val="0"/>
        </w:rPr>
        <w:t xml:space="preserve">Appendix A: Mathematical Derivations</w:t>
      </w:r>
      <w:r w:rsidDel="00000000" w:rsidR="00000000" w:rsidRPr="00000000">
        <w:rPr>
          <w:b/>
          <w:color w:val="0A9B72"/>
          <w:rtl w:val="0"/>
        </w:rPr>
      </w:r>
    </w:p>
    <w:p w:rsidR="00000000" w:rsidDel="00000000" w:rsidP="00000000" w:rsidRDefault="00000000" w:rsidRPr="00000000" w14:paraId="0000015B">
      <w:pPr>
        <w:pStyle w:val="Heading2"/>
        <w:pBdr>
          <w:left w:color="c9a84c" w:space="10" w:sz="10" w:val="single"/>
        </w:pBdr>
        <w:spacing w:after="180" w:before="360" w:line="360" w:lineRule="auto"/>
        <w:ind w:left="200" w:firstLine="0"/>
        <w:jc w:val="left"/>
        <w:rPr/>
      </w:pPr>
      <w:bookmarkStart w:colFirst="0" w:colLast="0" w:name="_rbopwvstl1gq" w:id="42"/>
      <w:bookmarkEnd w:id="42"/>
      <w:r w:rsidDel="00000000" w:rsidR="00000000" w:rsidRPr="00000000">
        <w:rPr>
          <w:rFonts w:ascii="Times New Roman" w:cs="Times New Roman" w:eastAsia="Times New Roman" w:hAnsi="Times New Roman"/>
          <w:b/>
          <w:bCs w:val="1"/>
          <w:color w:val="0E7FA8"/>
          <w:sz w:val="30"/>
          <w:szCs w:val="30"/>
          <w:rtl w:val="0"/>
        </w:rPr>
        <w:t xml:space="preserve">A.1 Derivation of Spectral Free Energy</w:t>
      </w:r>
      <w:r w:rsidDel="00000000" w:rsidR="00000000" w:rsidRPr="00000000">
        <w:rPr>
          <w:b/>
          <w:color w:val="0E7FA8"/>
          <w:rtl w:val="0"/>
        </w:rPr>
      </w:r>
    </w:p>
    <w:p w:rsidR="00000000" w:rsidDel="00000000" w:rsidP="00000000" w:rsidRDefault="00000000" w:rsidRPr="00000000" w14:paraId="0000015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derive the spectral free energy F = U - TS_spec from first principles. Consider the covariance matrix C with eigenvalues {lambda_i} and normalized eigenvalues lambda_tilde_i = lambda_i / sum_j lambda_j. We identify the internal energy as U = lambda_max, the largest eigenvalue, which represents the “cost” of maintaining a dominant spectral direction. The spectral entropy is defined as S_spec = -sum_i lambda_tilde_i log(lambda_tilde_i), which measures the information-theoretic uncertainty in the spectral distribution. The effective temperature T is a free parameter that we identify with the generation temperature. In the factual regime, lambda_max &gt;&gt; lambda_+ and S_spec is small, giving F = lambda_max - T * S_spec &lt;&lt; 0 (bound state). In the creative regime, lambda_max ≈ lambda_+ and S_spec is large, giving F ≈ 0 (gas state). The BBP transition occurs at F = 0, where lambda_max = T * S_spec.</w:t>
      </w:r>
      <w:r w:rsidDel="00000000" w:rsidR="00000000" w:rsidRPr="00000000">
        <w:rPr>
          <w:rtl w:val="0"/>
        </w:rPr>
      </w:r>
    </w:p>
    <w:p w:rsidR="00000000" w:rsidDel="00000000" w:rsidP="00000000" w:rsidRDefault="00000000" w:rsidRPr="00000000" w14:paraId="0000015D">
      <w:pPr>
        <w:pStyle w:val="Heading2"/>
        <w:pBdr>
          <w:left w:color="c9a84c" w:space="10" w:sz="10" w:val="single"/>
        </w:pBdr>
        <w:spacing w:after="180" w:before="360" w:line="360" w:lineRule="auto"/>
        <w:ind w:left="200" w:firstLine="0"/>
        <w:jc w:val="left"/>
        <w:rPr/>
      </w:pPr>
      <w:bookmarkStart w:colFirst="0" w:colLast="0" w:name="_lc6hrt9h6sqr" w:id="43"/>
      <w:bookmarkEnd w:id="43"/>
      <w:r w:rsidDel="00000000" w:rsidR="00000000" w:rsidRPr="00000000">
        <w:rPr>
          <w:rFonts w:ascii="Times New Roman" w:cs="Times New Roman" w:eastAsia="Times New Roman" w:hAnsi="Times New Roman"/>
          <w:b/>
          <w:bCs w:val="1"/>
          <w:color w:val="0E7FA8"/>
          <w:sz w:val="30"/>
          <w:szCs w:val="30"/>
          <w:rtl w:val="0"/>
        </w:rPr>
        <w:t xml:space="preserve">A.2 Covariance Matrix Construction</w:t>
      </w:r>
      <w:r w:rsidDel="00000000" w:rsidR="00000000" w:rsidRPr="00000000">
        <w:rPr>
          <w:b/>
          <w:color w:val="0E7FA8"/>
          <w:rtl w:val="0"/>
        </w:rPr>
      </w:r>
    </w:p>
    <w:p w:rsidR="00000000" w:rsidDel="00000000" w:rsidP="00000000" w:rsidRDefault="00000000" w:rsidRPr="00000000" w14:paraId="0000015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activation covariance matrix is constructed as follows. Given the hidden state activations H ∈ R^{T × N} extracted from a specific layer of GPT-2, we first center the activations by subtracting the mean across the T dimension: X = H - mean(H, axis=0). The covariance matrix is then computed as C = (1/T) X^T X, which is a positive semi-definite matrix of size N × N. When T &lt; N, C has rank at most T, meaning that at most T eigenvalues are non-zero. The remaining N - T eigenvalues are exactly zero, a feature that is correctly captured by the Marchenko-Pastur distribution in the q &gt; 1 regime.</w:t>
      </w:r>
      <w:r w:rsidDel="00000000" w:rsidR="00000000" w:rsidRPr="00000000">
        <w:rPr>
          <w:rtl w:val="0"/>
        </w:rPr>
      </w:r>
    </w:p>
    <w:tbl>
      <w:tblPr>
        <w:tblStyle w:val="Table2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5F">
            <w:pPr>
              <w:jc w:val="center"/>
              <w:rPr/>
            </w:pPr>
            <w:r w:rsidDel="00000000" w:rsidR="00000000" w:rsidRPr="00000000">
              <w:rPr/>
              <w:drawing>
                <wp:inline distB="0" distT="0" distL="0" distR="0">
                  <wp:extent cx="3238500" cy="581025"/>
                  <wp:effectExtent b="0" l="0" r="0" 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238500" cy="581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spacing w:after="200" w:before="60" w:lineRule="auto"/>
        <w:jc w:val="center"/>
        <w:rPr/>
      </w:pPr>
      <w:r w:rsidDel="00000000" w:rsidR="00000000" w:rsidRPr="00000000">
        <w:rPr>
          <w:rFonts w:ascii="Times New Roman" w:cs="Times New Roman" w:eastAsia="Times New Roman" w:hAnsi="Times New Roman"/>
          <w:i w:val="1"/>
          <w:iCs w:val="1"/>
          <w:color w:val="0B6E54"/>
          <w:sz w:val="20"/>
          <w:szCs w:val="20"/>
          <w:rtl w:val="0"/>
        </w:rPr>
        <w:t xml:space="preserve">Equation A-1: Covariance matrix construction</w:t>
      </w:r>
      <w:r w:rsidDel="00000000" w:rsidR="00000000" w:rsidRPr="00000000">
        <w:rPr>
          <w:rtl w:val="0"/>
        </w:rPr>
      </w:r>
    </w:p>
    <w:p w:rsidR="00000000" w:rsidDel="00000000" w:rsidP="00000000" w:rsidRDefault="00000000" w:rsidRPr="00000000" w14:paraId="00000161">
      <w:pPr>
        <w:pStyle w:val="Heading1"/>
        <w:pBdr>
          <w:bottom w:color="c9a84c" w:space="8" w:sz="4" w:val="single"/>
        </w:pBdr>
        <w:spacing w:after="240" w:before="480" w:line="400" w:lineRule="auto"/>
        <w:jc w:val="left"/>
        <w:rPr/>
      </w:pPr>
      <w:bookmarkStart w:colFirst="0" w:colLast="0" w:name="_z83pe2atjklc" w:id="44"/>
      <w:bookmarkEnd w:id="44"/>
      <w:r w:rsidDel="00000000" w:rsidR="00000000" w:rsidRPr="00000000">
        <w:rPr>
          <w:rFonts w:ascii="Times New Roman" w:cs="Times New Roman" w:eastAsia="Times New Roman" w:hAnsi="Times New Roman"/>
          <w:b/>
          <w:bCs w:val="1"/>
          <w:color w:val="0A9B72"/>
          <w:sz w:val="36"/>
          <w:szCs w:val="36"/>
          <w:rtl w:val="0"/>
        </w:rPr>
        <w:t xml:space="preserve">Appendix B: Experimental Details</w:t>
      </w:r>
      <w:r w:rsidDel="00000000" w:rsidR="00000000" w:rsidRPr="00000000">
        <w:rPr>
          <w:b/>
          <w:color w:val="0A9B72"/>
          <w:rtl w:val="0"/>
        </w:rPr>
      </w:r>
    </w:p>
    <w:p w:rsidR="00000000" w:rsidDel="00000000" w:rsidP="00000000" w:rsidRDefault="00000000" w:rsidRPr="00000000" w14:paraId="00000162">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B-1: Experimental Configuration</w:t>
      </w:r>
      <w:r w:rsidDel="00000000" w:rsidR="00000000" w:rsidRPr="00000000">
        <w:rPr>
          <w:rtl w:val="0"/>
        </w:rPr>
      </w:r>
    </w:p>
    <w:tbl>
      <w:tblPr>
        <w:tblStyle w:val="Table2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430"/>
        <w:gridCol w:w="4290"/>
        <w:tblGridChange w:id="0">
          <w:tblGrid>
            <w:gridCol w:w="2070"/>
            <w:gridCol w:w="2430"/>
            <w:gridCol w:w="42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Parameter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Value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Notes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color w:val="1a1a14"/>
                <w:sz w:val="20"/>
                <w:szCs w:val="20"/>
                <w:rtl w:val="0"/>
              </w:rPr>
              <w:t xml:space="preserve">Model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color w:val="1a1a14"/>
                <w:sz w:val="20"/>
                <w:szCs w:val="20"/>
                <w:rtl w:val="0"/>
              </w:rPr>
              <w:t xml:space="preserve">GPT-2 (124M)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color w:val="1a1a14"/>
                <w:sz w:val="20"/>
                <w:szCs w:val="20"/>
                <w:rtl w:val="0"/>
              </w:rPr>
              <w:t xml:space="preserve">12 layers, 768 hidden dim, 12 heads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color w:val="1a1a14"/>
                <w:sz w:val="20"/>
                <w:szCs w:val="20"/>
                <w:rtl w:val="0"/>
              </w:rPr>
              <w:t xml:space="preserve">Sequence Length</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color w:val="1a1a14"/>
                <w:sz w:val="20"/>
                <w:szCs w:val="20"/>
                <w:rtl w:val="0"/>
              </w:rPr>
              <w:t xml:space="preserve">200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color w:val="1a1a14"/>
                <w:sz w:val="20"/>
                <w:szCs w:val="20"/>
                <w:rtl w:val="0"/>
              </w:rPr>
              <w:t xml:space="preserve">With padding/truncation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color w:val="1a1a14"/>
                <w:sz w:val="20"/>
                <w:szCs w:val="20"/>
                <w:rtl w:val="0"/>
              </w:rPr>
              <w:t xml:space="preserve">Factual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color w:val="1a1a14"/>
                <w:sz w:val="20"/>
                <w:szCs w:val="20"/>
                <w:rtl w:val="0"/>
              </w:rPr>
              <w:t xml:space="preserve">Capitals, math, science, history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color w:val="1a1a14"/>
                <w:sz w:val="20"/>
                <w:szCs w:val="20"/>
                <w:rtl w:val="0"/>
              </w:rPr>
              <w:t xml:space="preserve">Creative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color w:val="1a1a14"/>
                <w:sz w:val="20"/>
                <w:szCs w:val="20"/>
                <w:rtl w:val="0"/>
              </w:rPr>
              <w:t xml:space="preserve">Stories, poetry, hypotheticals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color w:val="1a1a14"/>
                <w:sz w:val="20"/>
                <w:szCs w:val="20"/>
                <w:rtl w:val="0"/>
              </w:rPr>
              <w:t xml:space="preserve">Temperature Range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color w:val="1a1a14"/>
                <w:sz w:val="20"/>
                <w:szCs w:val="20"/>
                <w:rtl w:val="0"/>
              </w:rPr>
              <w:t xml:space="preserve">0.1 - 2.0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color w:val="1a1a14"/>
                <w:sz w:val="20"/>
                <w:szCs w:val="20"/>
                <w:rtl w:val="0"/>
              </w:rPr>
              <w:t xml:space="preserve">8 values, logarithmic spacing</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color w:val="1a1a14"/>
                <w:sz w:val="20"/>
                <w:szCs w:val="20"/>
                <w:rtl w:val="0"/>
              </w:rPr>
              <w:t xml:space="preserve">Computation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1a1a14"/>
                <w:sz w:val="20"/>
                <w:szCs w:val="20"/>
                <w:rtl w:val="0"/>
              </w:rPr>
              <w:t xml:space="preserve">NumPy + SciPy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color w:val="1a1a14"/>
                <w:sz w:val="20"/>
                <w:szCs w:val="20"/>
                <w:rtl w:val="0"/>
              </w:rPr>
              <w:t xml:space="preserve">Double precision, divide-and-conquer eigensolver</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color w:val="1a1a14"/>
                <w:sz w:val="20"/>
                <w:szCs w:val="20"/>
                <w:rtl w:val="0"/>
              </w:rPr>
              <w:t xml:space="preserve">Hardware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1a1a14"/>
                <w:sz w:val="20"/>
                <w:szCs w:val="20"/>
                <w:rtl w:val="0"/>
              </w:rPr>
              <w:t xml:space="preserve">NVIDIA A100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1a1a14"/>
                <w:sz w:val="20"/>
                <w:szCs w:val="20"/>
                <w:rtl w:val="0"/>
              </w:rPr>
              <w:t xml:space="preserve">40GB GPU, 128GB RAM</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1"/>
        <w:pBdr>
          <w:bottom w:color="c9a84c" w:space="8" w:sz="4" w:val="single"/>
        </w:pBdr>
        <w:spacing w:after="240" w:before="480" w:line="400" w:lineRule="auto"/>
        <w:jc w:val="left"/>
        <w:rPr/>
      </w:pPr>
      <w:bookmarkStart w:colFirst="0" w:colLast="0" w:name="_rdojmqj250zd" w:id="45"/>
      <w:bookmarkEnd w:id="45"/>
      <w:r w:rsidDel="00000000" w:rsidR="00000000" w:rsidRPr="00000000">
        <w:rPr>
          <w:rFonts w:ascii="Times New Roman" w:cs="Times New Roman" w:eastAsia="Times New Roman" w:hAnsi="Times New Roman"/>
          <w:b/>
          <w:bCs w:val="1"/>
          <w:color w:val="0A9B72"/>
          <w:sz w:val="36"/>
          <w:szCs w:val="36"/>
          <w:rtl w:val="0"/>
        </w:rPr>
        <w:t xml:space="preserve">Appendix C: Code Implementation</w:t>
      </w:r>
      <w:r w:rsidDel="00000000" w:rsidR="00000000" w:rsidRPr="00000000">
        <w:rPr>
          <w:b/>
          <w:color w:val="0A9B72"/>
          <w:rtl w:val="0"/>
        </w:rPr>
      </w:r>
    </w:p>
    <w:p w:rsidR="00000000" w:rsidDel="00000000" w:rsidP="00000000" w:rsidRDefault="00000000" w:rsidRPr="00000000" w14:paraId="000001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complete spectral analysis pipeline is implemented in Python using NumPy and SciPy. The central function advanced_spectral_analysis(M) computes all spectral metrics from a given covariance matrix M. The visualization functions, including plot_eigenvalue_density() for MP overlay plots and plot_scree() for eigenvalue magnitude comparisons, are implemented using matplotlib with a black-and-gold color scheme for consistency with this document's visual identity. All code and data will be made publicly available upon publication of this manuscript.</w:t>
      </w:r>
      <w:r w:rsidDel="00000000" w:rsidR="00000000" w:rsidRPr="00000000">
        <w:rPr>
          <w:rtl w:val="0"/>
        </w:rPr>
      </w:r>
    </w:p>
    <w:p w:rsidR="00000000" w:rsidDel="00000000" w:rsidP="00000000" w:rsidRDefault="00000000" w:rsidRPr="00000000" w14:paraId="0000017E">
      <w:pPr>
        <w:keepNext w:val="1"/>
        <w:spacing w:after="100" w:before="200" w:lineRule="auto"/>
        <w:jc w:val="center"/>
        <w:rPr/>
      </w:pPr>
      <w:r w:rsidDel="00000000" w:rsidR="00000000" w:rsidRPr="00000000">
        <w:rPr>
          <w:rFonts w:ascii="Times New Roman" w:cs="Times New Roman" w:eastAsia="Times New Roman" w:hAnsi="Times New Roman"/>
          <w:b w:val="1"/>
          <w:bCs w:val="1"/>
          <w:color w:val="0B6E54"/>
          <w:sz w:val="21"/>
          <w:szCs w:val="21"/>
          <w:rtl w:val="0"/>
        </w:rPr>
        <w:t xml:space="preserve">Table C-1: Core Analysis Functions</w:t>
      </w:r>
      <w:r w:rsidDel="00000000" w:rsidR="00000000" w:rsidRPr="00000000">
        <w:rPr>
          <w:rtl w:val="0"/>
        </w:rPr>
      </w:r>
    </w:p>
    <w:tbl>
      <w:tblPr>
        <w:tblStyle w:val="Table2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965"/>
        <w:gridCol w:w="1830"/>
        <w:gridCol w:w="2190"/>
        <w:tblGridChange w:id="0">
          <w:tblGrid>
            <w:gridCol w:w="2805"/>
            <w:gridCol w:w="1965"/>
            <w:gridCol w:w="1830"/>
            <w:gridCol w:w="21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Function</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Input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Output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Description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color w:val="1a1a14"/>
                <w:sz w:val="20"/>
                <w:szCs w:val="20"/>
                <w:rtl w:val="0"/>
              </w:rPr>
              <w:t xml:space="preserve">advanced_spectral_analysis(M)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1a1a14"/>
                <w:sz w:val="20"/>
                <w:szCs w:val="20"/>
                <w:rtl w:val="0"/>
              </w:rPr>
              <w:t xml:space="preserve">Dict of metrics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1a1a14"/>
                <w:sz w:val="20"/>
                <w:szCs w:val="20"/>
                <w:rtl w:val="0"/>
              </w:rPr>
              <w:t xml:space="preserve">Computes PR, SNR, S_spec, IPR, TW, SFF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color w:val="1a1a14"/>
                <w:sz w:val="20"/>
                <w:szCs w:val="20"/>
                <w:rtl w:val="0"/>
              </w:rPr>
              <w:t xml:space="preserve">plot_eigenvalue_density(M)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1a1a14"/>
                <w:sz w:val="20"/>
                <w:szCs w:val="20"/>
                <w:rtl w:val="0"/>
              </w:rPr>
              <w:t xml:space="preserve">PNG figure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1a1a14"/>
                <w:sz w:val="20"/>
                <w:szCs w:val="20"/>
                <w:rtl w:val="0"/>
              </w:rPr>
              <w:t xml:space="preserve">Eigenvalue histogram with MP overlay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color w:val="1a1a14"/>
                <w:sz w:val="20"/>
                <w:szCs w:val="20"/>
                <w:rtl w:val="0"/>
              </w:rPr>
              <w:t xml:space="preserve">compute_bbp_statistic(M)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color w:val="1a1a14"/>
                <w:sz w:val="20"/>
                <w:szCs w:val="20"/>
                <w:rtl w:val="0"/>
              </w:rPr>
              <w:t xml:space="preserve">Float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color w:val="1a1a14"/>
                <w:sz w:val="20"/>
                <w:szCs w:val="20"/>
                <w:rtl w:val="0"/>
              </w:rPr>
              <w:t xml:space="preserve">lambda_max/lambda_+ ratio</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color w:val="1a1a14"/>
                <w:sz w:val="20"/>
                <w:szCs w:val="20"/>
                <w:rtl w:val="0"/>
              </w:rPr>
              <w:t xml:space="preserve">compute_spectral_form_factor(M)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color w:val="1a1a14"/>
                <w:sz w:val="20"/>
                <w:szCs w:val="20"/>
                <w:rtl w:val="0"/>
              </w:rPr>
              <w:t xml:space="preserve">Eigenvalues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color w:val="1a1a14"/>
                <w:sz w:val="20"/>
                <w:szCs w:val="20"/>
                <w:rtl w:val="0"/>
              </w:rPr>
              <w:t xml:space="preserve">Array K(t)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color w:val="1a1a14"/>
                <w:sz w:val="20"/>
                <w:szCs w:val="20"/>
                <w:rtl w:val="0"/>
              </w:rPr>
              <w:t xml:space="preserve">SFF as function of time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color w:val="1a1a14"/>
                <w:sz w:val="20"/>
                <w:szCs w:val="20"/>
                <w:rtl w:val="0"/>
              </w:rPr>
              <w:t xml:space="preserve">compute_spacing_ratios(evals)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color w:val="1a1a14"/>
                <w:sz w:val="20"/>
                <w:szCs w:val="20"/>
                <w:rtl w:val="0"/>
              </w:rPr>
              <w:t xml:space="preserve">Eigenvalue array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1a1a14"/>
                <w:sz w:val="20"/>
                <w:szCs w:val="20"/>
                <w:rtl w:val="0"/>
              </w:rPr>
              <w:t xml:space="preserve">Array of ratios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color w:val="1a1a14"/>
                <w:sz w:val="20"/>
                <w:szCs w:val="20"/>
                <w:rtl w:val="0"/>
              </w:rPr>
              <w:t xml:space="preserve">Unfolded spacing ratios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1a1a14"/>
                <w:sz w:val="20"/>
                <w:szCs w:val="20"/>
                <w:rtl w:val="0"/>
              </w:rPr>
              <w:t xml:space="preserve">compute_tracy_widom(M)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color w:val="1a1a14"/>
                <w:sz w:val="20"/>
                <w:szCs w:val="20"/>
                <w:rtl w:val="0"/>
              </w:rPr>
              <w:t xml:space="preserve">Float p-value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1a1a14"/>
                <w:sz w:val="20"/>
                <w:szCs w:val="20"/>
                <w:rtl w:val="0"/>
              </w:rPr>
              <w:t xml:space="preserve">TW test for BBP transition</w:t>
            </w:r>
            <w:r w:rsidDel="00000000" w:rsidR="00000000" w:rsidRPr="00000000">
              <w:rPr>
                <w:rtl w:val="0"/>
              </w:rPr>
            </w:r>
          </w:p>
        </w:tc>
      </w:tr>
    </w:tbl>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pStyle w:val="Heading1"/>
        <w:pBdr>
          <w:bottom w:color="c9a84c" w:space="8" w:sz="4" w:val="single"/>
        </w:pBdr>
        <w:spacing w:after="240" w:before="480" w:line="400" w:lineRule="auto"/>
        <w:jc w:val="left"/>
        <w:rPr/>
      </w:pPr>
      <w:bookmarkStart w:colFirst="0" w:colLast="0" w:name="_fs0vwju34dud" w:id="46"/>
      <w:bookmarkEnd w:id="46"/>
      <w:r w:rsidDel="00000000" w:rsidR="00000000" w:rsidRPr="00000000">
        <w:rPr>
          <w:rFonts w:ascii="Times New Roman" w:cs="Times New Roman" w:eastAsia="Times New Roman" w:hAnsi="Times New Roman"/>
          <w:b/>
          <w:bCs w:val="1"/>
          <w:color w:val="0A9B72"/>
          <w:sz w:val="36"/>
          <w:szCs w:val="36"/>
          <w:rtl w:val="0"/>
        </w:rPr>
        <w:t xml:space="preserve">References</w:t>
      </w:r>
      <w:r w:rsidDel="00000000" w:rsidR="00000000" w:rsidRPr="00000000">
        <w:rPr>
          <w:b/>
          <w:color w:val="0A9B72"/>
          <w:rtl w:val="0"/>
        </w:rPr>
      </w:r>
    </w:p>
    <w:p w:rsidR="00000000" w:rsidDel="00000000" w:rsidP="00000000" w:rsidRDefault="00000000" w:rsidRPr="00000000" w14:paraId="0000019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 Marchenko, V. A. and Pastur, L. A. (1967). Distribution of eigenvalues for some sets of random matrices. Matematicheskii Sbornik, 72(4):507-536.</w:t>
      </w:r>
      <w:r w:rsidDel="00000000" w:rsidR="00000000" w:rsidRPr="00000000">
        <w:rPr>
          <w:rtl w:val="0"/>
        </w:rPr>
      </w:r>
    </w:p>
    <w:p w:rsidR="00000000" w:rsidDel="00000000" w:rsidP="00000000" w:rsidRDefault="00000000" w:rsidRPr="00000000" w14:paraId="0000019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[2] Baik, J., Ben Arous, G., and Péché, S. (2005). Phase transition of the largest eigenvalue for nonnull complex sample covariance matrices. Annals of Probability, 33(5):1643-1697.</w:t>
      </w:r>
      <w:r w:rsidDel="00000000" w:rsidR="00000000" w:rsidRPr="00000000">
        <w:rPr>
          <w:rtl w:val="0"/>
        </w:rPr>
      </w:r>
    </w:p>
    <w:p w:rsidR="00000000" w:rsidDel="00000000" w:rsidP="00000000" w:rsidRDefault="00000000" w:rsidRPr="00000000" w14:paraId="0000019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[3] Tracy, C. A. and Widom, H. (1994). Level-spacing distributions and the Airy kernel. Communications in Mathematical Physics, 159(1):151-174.</w:t>
      </w:r>
      <w:r w:rsidDel="00000000" w:rsidR="00000000" w:rsidRPr="00000000">
        <w:rPr>
          <w:rtl w:val="0"/>
        </w:rPr>
      </w:r>
    </w:p>
    <w:p w:rsidR="00000000" w:rsidDel="00000000" w:rsidP="00000000" w:rsidRDefault="00000000" w:rsidRPr="00000000" w14:paraId="000001A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[4] Mehta, M. L. (2004). Random Matrices. Academic Press, 3rd edition.</w:t>
      </w:r>
      <w:r w:rsidDel="00000000" w:rsidR="00000000" w:rsidRPr="00000000">
        <w:rPr>
          <w:rtl w:val="0"/>
        </w:rPr>
      </w:r>
    </w:p>
    <w:p w:rsidR="00000000" w:rsidDel="00000000" w:rsidP="00000000" w:rsidRDefault="00000000" w:rsidRPr="00000000" w14:paraId="000001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[5] Martin, C. H. and Mahoney, M. W. (2021). Implicit self-regularization in deep neural networks: Evidence from random matrix theory and implications for learning. Journal of Machine Learning Research, 22(184):1-73.</w:t>
      </w:r>
      <w:r w:rsidDel="00000000" w:rsidR="00000000" w:rsidRPr="00000000">
        <w:rPr>
          <w:rtl w:val="0"/>
        </w:rPr>
      </w:r>
    </w:p>
    <w:p w:rsidR="00000000" w:rsidDel="00000000" w:rsidP="00000000" w:rsidRDefault="00000000" w:rsidRPr="00000000" w14:paraId="000001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[6] Radford, A., Wu, J., Child, R., Luan, D., Amodei, D., and Sutskever, I. (2019). Language models are unsupervised multitask learners. OpenAI Technical Report.</w:t>
      </w:r>
      <w:r w:rsidDel="00000000" w:rsidR="00000000" w:rsidRPr="00000000">
        <w:rPr>
          <w:rtl w:val="0"/>
        </w:rPr>
      </w:r>
    </w:p>
    <w:p w:rsidR="00000000" w:rsidDel="00000000" w:rsidP="00000000" w:rsidRDefault="00000000" w:rsidRPr="00000000" w14:paraId="000001A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[7]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1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[8] Atanasiu, A. (2011). Remarks on the quantum和信息-theoretic aspects of random matrices. Physica A, 390(12):2243-2250.</w:t>
      </w:r>
      <w:r w:rsidDel="00000000" w:rsidR="00000000" w:rsidRPr="00000000">
        <w:rPr>
          <w:rtl w:val="0"/>
        </w:rPr>
      </w:r>
    </w:p>
    <w:p w:rsidR="00000000" w:rsidDel="00000000" w:rsidP="00000000" w:rsidRDefault="00000000" w:rsidRPr="00000000" w14:paraId="000001A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[9] Livan, G., Novaes, M., and Vivo, P. (2018). Introduction to Random Matrices: Theory and Practice. Springer.</w:t>
      </w:r>
      <w:r w:rsidDel="00000000" w:rsidR="00000000" w:rsidRPr="00000000">
        <w:rPr>
          <w:rtl w:val="0"/>
        </w:rPr>
      </w:r>
    </w:p>
    <w:p w:rsidR="00000000" w:rsidDel="00000000" w:rsidP="00000000" w:rsidRDefault="00000000" w:rsidRPr="00000000" w14:paraId="000001A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[10] Potters, M. and Bouchaud, J.-P. (2020). A First Course in Random Matrix Theory. Cambridge University Press.</w:t>
      </w:r>
      <w:r w:rsidDel="00000000" w:rsidR="00000000" w:rsidRPr="00000000">
        <w:rPr>
          <w:rtl w:val="0"/>
        </w:rPr>
      </w:r>
    </w:p>
    <w:p w:rsidR="00000000" w:rsidDel="00000000" w:rsidP="00000000" w:rsidRDefault="00000000" w:rsidRPr="00000000" w14:paraId="000001A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[11] Edelman, A. and Wang, Y. (2013). Random matrix theory and its innovative applications. Advances in Applied Mathematics, 40:1-25.</w:t>
      </w:r>
      <w:r w:rsidDel="00000000" w:rsidR="00000000" w:rsidRPr="00000000">
        <w:rPr>
          <w:rtl w:val="0"/>
        </w:rPr>
      </w:r>
    </w:p>
    <w:p w:rsidR="00000000" w:rsidDel="00000000" w:rsidP="00000000" w:rsidRDefault="00000000" w:rsidRPr="00000000" w14:paraId="000001A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[12] Dyson, F. J. (1962). Statistical theory of the energy levels of complex systems. I, II, III. Journal of Mathematical Physics, 3:140-175.</w:t>
      </w:r>
      <w:r w:rsidDel="00000000" w:rsidR="00000000" w:rsidRPr="00000000">
        <w:rPr>
          <w:rtl w:val="0"/>
        </w:rPr>
      </w:r>
    </w:p>
    <w:p w:rsidR="00000000" w:rsidDel="00000000" w:rsidP="00000000" w:rsidRDefault="00000000" w:rsidRPr="00000000" w14:paraId="000001A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[13] Wigner, E. P. (1955). Characteristic vectors of bordered matrices with infinite dimensions. Annals of Mathematics, 62(3):548-564.</w:t>
      </w:r>
      <w:r w:rsidDel="00000000" w:rsidR="00000000" w:rsidRPr="00000000">
        <w:rPr>
          <w:rtl w:val="0"/>
        </w:rPr>
      </w:r>
    </w:p>
    <w:p w:rsidR="00000000" w:rsidDel="00000000" w:rsidP="00000000" w:rsidRDefault="00000000" w:rsidRPr="00000000" w14:paraId="000001A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[14] Guhr, T., Müller-Groeling, A., and Weidenmüller, H. A. (1998). Random-matrix theories in quantum physics: Common concepts. Physics Reports, 299(4-6):189-425.</w:t>
      </w:r>
      <w:r w:rsidDel="00000000" w:rsidR="00000000" w:rsidRPr="00000000">
        <w:rPr>
          <w:rtl w:val="0"/>
        </w:rPr>
      </w:r>
    </w:p>
    <w:p w:rsidR="00000000" w:rsidDel="00000000" w:rsidP="00000000" w:rsidRDefault="00000000" w:rsidRPr="00000000" w14:paraId="000001A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[15] Elad, M. (2010). Sparse and Redundant Representations: From Theory to Applications in Signal and Image Processing. Springer.</w:t>
      </w:r>
      <w:r w:rsidDel="00000000" w:rsidR="00000000" w:rsidRPr="00000000">
        <w:rPr>
          <w:rtl w:val="0"/>
        </w:rPr>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8788"/>
      </w:tblGrid>
      <w:tr>
        <w:tc>
          <w:tcPr>
            <w:tcW w:type="dxa" w:w="8788"/>
            <w:shd w:val="clear" w:fill="050510"/>
          </w:tcPr>
          <w:p>
            <w:pPr>
              <w:spacing w:after="80"/>
              <w:jc w:val="center"/>
            </w:pPr>
            <w:r>
              <w:rPr>
                <w:color w:val="00FFA3"/>
                <w:sz w:val="18"/>
              </w:rPr>
              <w:t>AURORA EDITION · REPOSITORY SUPPLEMENT</w:t>
            </w:r>
          </w:p>
          <w:p>
            <w:pPr>
              <w:jc w:val="center"/>
            </w:pPr>
            <w:r>
              <w:rPr>
                <w:b/>
                <w:color w:val="F1F5F9"/>
                <w:sz w:val="34"/>
              </w:rPr>
              <w:t>Appendices — The Repository Behind the Preprint</w:t>
            </w:r>
          </w:p>
          <w:p>
            <w:pPr>
              <w:jc w:val="center"/>
            </w:pPr>
            <w:r>
              <w:rPr>
                <w:color w:val="6D5BD0"/>
                <w:sz w:val="14"/>
              </w:rPr>
              <w:t>▲  ▼  ▲</w:t>
            </w:r>
          </w:p>
        </w:tc>
      </w:tr>
    </w:tbl>
    <w:p>
      <w:pPr>
        <w:spacing w:after="120" w:line="300" w:lineRule="auto"/>
        <w:jc w:val="both"/>
      </w:pPr>
      <w:r>
        <w:rPr>
          <w:i w:val="0"/>
          <w:color w:val="1E293B"/>
          <w:sz w:val="22"/>
        </w:rPr>
        <w:t>Version 1 of the BlackGold preprint introduced the full spectral suite — temperature sweeps, cross-layer transfer, IPR profiles, prompt-length dependence and the free-energy analogy. This edition adds the appendices that tie each of those experiments to its executable form in the repository, so that every figure of the main text has a command that regenerates it and a test that guards it.</w:t>
      </w:r>
    </w:p>
    <w:p>
      <w:pPr>
        <w:pStyle w:val="Heading1"/>
        <w:keepNext/>
      </w:pPr>
      <w:r>
        <w:rPr>
          <w:b/>
          <w:color w:val="0A9B72"/>
          <w:sz w:val="32"/>
        </w:rPr>
        <w:t>Appendix A. Repository Architecture for the Spectral Pipeline</w:t>
      </w:r>
    </w:p>
    <w:p>
      <w:pPr>
        <w:spacing w:after="120" w:line="300" w:lineRule="auto"/>
        <w:jc w:val="both"/>
      </w:pPr>
      <w:r>
        <w:rPr>
          <w:i w:val="0"/>
          <w:color w:val="1E293B"/>
          <w:sz w:val="22"/>
        </w:rPr>
        <w:t>The pipeline of Section 3.3 is split between two layers of the repository. The mathematical layer, src/rmt_llm/, contains the ensemble and distribution machinery and is kept free of any model-specific code; the empirical layer, laboratory/python/lab_en/, contains the GPT-2 harness, the prompt design of Section 3.2 and the report writers. The split is what allows seven language ports to share the mathematics while the model harness evolves independently.</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6177"/>
      </w:tblGrid>
      <w:tr>
        <w:trPr>
          <w:tblHeader/>
          <w:cantSplit/>
        </w:trPr>
        <w:tc>
          <w:tcPr>
            <w:tcW w:type="pct" w:w="1700"/>
            <w:shd w:val="clear" w:fill="050510"/>
          </w:tcPr>
          <w:p>
            <w:pPr>
              <w:spacing w:before="40" w:after="40"/>
            </w:pPr>
            <w:r>
              <w:rPr>
                <w:b/>
                <w:color w:val="00FFA3"/>
                <w:sz w:val="19"/>
              </w:rPr>
              <w:t>Section of the main text</w:t>
            </w:r>
          </w:p>
        </w:tc>
        <w:tc>
          <w:tcPr>
            <w:tcW w:type="pct" w:w="3300"/>
            <w:shd w:val="clear" w:fill="050510"/>
          </w:tcPr>
          <w:p>
            <w:pPr>
              <w:spacing w:before="40" w:after="40"/>
            </w:pPr>
            <w:r>
              <w:rPr>
                <w:b/>
                <w:color w:val="7DD3FC"/>
                <w:sz w:val="19"/>
              </w:rPr>
              <w:t>Repository implementation</w:t>
            </w:r>
          </w:p>
        </w:tc>
      </w:tr>
      <w:tr>
        <w:tc>
          <w:tcPr>
            <w:tcW w:type="pct" w:w="1700"/>
          </w:tcPr>
          <w:p>
            <w:pPr>
              <w:spacing w:before="20" w:after="20"/>
            </w:pPr>
            <w:r>
              <w:rPr>
                <w:b/>
                <w:color w:val="0A9B72"/>
                <w:sz w:val="19"/>
              </w:rPr>
              <w:t>§2.1 Marchenko–Pastur law</w:t>
            </w:r>
          </w:p>
        </w:tc>
        <w:tc>
          <w:tcPr>
            <w:tcW w:type="pct" w:w="3300"/>
          </w:tcPr>
          <w:p>
            <w:pPr>
              <w:spacing w:before="20" w:after="20"/>
            </w:pPr>
            <w:r>
              <w:rPr>
                <w:color w:val="1E293B"/>
                <w:sz w:val="19"/>
              </w:rPr>
              <w:t>marchenko_pastur.py — mp_density, mp_bounds, mp_cdf</w:t>
            </w:r>
          </w:p>
        </w:tc>
      </w:tr>
      <w:tr>
        <w:tc>
          <w:tcPr>
            <w:tcW w:type="pct" w:w="1700"/>
            <w:shd w:val="clear" w:fill="F4F8F6"/>
          </w:tcPr>
          <w:p>
            <w:pPr>
              <w:spacing w:before="20" w:after="20"/>
            </w:pPr>
            <w:r>
              <w:rPr>
                <w:b/>
                <w:color w:val="0E7FA8"/>
                <w:sz w:val="19"/>
              </w:rPr>
              <w:t>§2.2 BBP transition</w:t>
            </w:r>
          </w:p>
        </w:tc>
        <w:tc>
          <w:tcPr>
            <w:tcW w:type="pct" w:w="3300"/>
            <w:shd w:val="clear" w:fill="F4F8F6"/>
          </w:tcPr>
          <w:p>
            <w:pPr>
              <w:spacing w:before="20" w:after="20"/>
            </w:pPr>
            <w:r>
              <w:rPr>
                <w:color w:val="1E293B"/>
                <w:sz w:val="19"/>
              </w:rPr>
              <w:t>bbp_transition.py — bbp_critical_theta, bbp_lambda_max</w:t>
            </w:r>
          </w:p>
        </w:tc>
      </w:tr>
      <w:tr>
        <w:tc>
          <w:tcPr>
            <w:tcW w:type="pct" w:w="1700"/>
          </w:tcPr>
          <w:p>
            <w:pPr>
              <w:spacing w:before="20" w:after="20"/>
            </w:pPr>
            <w:r>
              <w:rPr>
                <w:b/>
                <w:color w:val="0A9B72"/>
                <w:sz w:val="19"/>
              </w:rPr>
              <w:t>§2.3 Tracy–Widom</w:t>
            </w:r>
          </w:p>
        </w:tc>
        <w:tc>
          <w:tcPr>
            <w:tcW w:type="pct" w:w="3300"/>
          </w:tcPr>
          <w:p>
            <w:pPr>
              <w:spacing w:before="20" w:after="20"/>
            </w:pPr>
            <w:r>
              <w:rPr>
                <w:color w:val="1E293B"/>
                <w:sz w:val="19"/>
              </w:rPr>
              <w:t>tracy_widom.py — F₂ table, cdf/pdf, moments</w:t>
            </w:r>
          </w:p>
        </w:tc>
      </w:tr>
      <w:tr>
        <w:tc>
          <w:tcPr>
            <w:tcW w:type="pct" w:w="1700"/>
            <w:shd w:val="clear" w:fill="F4F8F6"/>
          </w:tcPr>
          <w:p>
            <w:pPr>
              <w:spacing w:before="20" w:after="20"/>
            </w:pPr>
            <w:r>
              <w:rPr>
                <w:b/>
                <w:color w:val="0E7FA8"/>
                <w:sz w:val="19"/>
              </w:rPr>
              <w:t>§2.4 Spectral form factor</w:t>
            </w:r>
          </w:p>
        </w:tc>
        <w:tc>
          <w:tcPr>
            <w:tcW w:type="pct" w:w="3300"/>
            <w:shd w:val="clear" w:fill="F4F8F6"/>
          </w:tcPr>
          <w:p>
            <w:pPr>
              <w:spacing w:before="20" w:after="20"/>
            </w:pPr>
            <w:r>
              <w:rPr>
                <w:color w:val="1E293B"/>
                <w:sz w:val="19"/>
              </w:rPr>
              <w:t>circular_ensembles.py — form_factor, spacing statistics</w:t>
            </w:r>
          </w:p>
        </w:tc>
      </w:tr>
      <w:tr>
        <w:tc>
          <w:tcPr>
            <w:tcW w:type="pct" w:w="1700"/>
          </w:tcPr>
          <w:p>
            <w:pPr>
              <w:spacing w:before="20" w:after="20"/>
            </w:pPr>
            <w:r>
              <w:rPr>
                <w:b/>
                <w:color w:val="0A9B72"/>
                <w:sz w:val="19"/>
              </w:rPr>
              <w:t>§2.5 PR / IPR</w:t>
            </w:r>
          </w:p>
        </w:tc>
        <w:tc>
          <w:tcPr>
            <w:tcW w:type="pct" w:w="3300"/>
          </w:tcPr>
          <w:p>
            <w:pPr>
              <w:spacing w:before="20" w:after="20"/>
            </w:pPr>
            <w:r>
              <w:rPr>
                <w:color w:val="1E293B"/>
                <w:sz w:val="19"/>
              </w:rPr>
              <w:t>free_probability.py — participation diagnostics; dyson_brownian.py eigenvectors</w:t>
            </w:r>
          </w:p>
        </w:tc>
      </w:tr>
      <w:tr>
        <w:tc>
          <w:tcPr>
            <w:tcW w:type="pct" w:w="1700"/>
            <w:shd w:val="clear" w:fill="F4F8F6"/>
          </w:tcPr>
          <w:p>
            <w:pPr>
              <w:spacing w:before="20" w:after="20"/>
            </w:pPr>
            <w:r>
              <w:rPr>
                <w:b/>
                <w:color w:val="0E7FA8"/>
                <w:sz w:val="19"/>
              </w:rPr>
              <w:t>§6.1 Free energy F = U − TS_spec</w:t>
            </w:r>
          </w:p>
        </w:tc>
        <w:tc>
          <w:tcPr>
            <w:tcW w:type="pct" w:w="3300"/>
            <w:shd w:val="clear" w:fill="F4F8F6"/>
          </w:tcPr>
          <w:p>
            <w:pPr>
              <w:spacing w:before="20" w:after="20"/>
            </w:pPr>
            <w:r>
              <w:rPr>
                <w:color w:val="1E293B"/>
                <w:sz w:val="19"/>
              </w:rPr>
              <w:t>thermodynamics.py — free_energy, spectral_entropy</w:t>
            </w:r>
          </w:p>
        </w:tc>
      </w:tr>
      <w:tr>
        <w:tc>
          <w:tcPr>
            <w:tcW w:type="pct" w:w="1700"/>
          </w:tcPr>
          <w:p>
            <w:pPr>
              <w:spacing w:before="20" w:after="20"/>
            </w:pPr>
            <w:r>
              <w:rPr>
                <w:b/>
                <w:color w:val="0A9B72"/>
                <w:sz w:val="19"/>
              </w:rPr>
              <w:t>§6.2 RG flow across layers</w:t>
            </w:r>
          </w:p>
        </w:tc>
        <w:tc>
          <w:tcPr>
            <w:tcW w:type="pct" w:w="3300"/>
          </w:tcPr>
          <w:p>
            <w:pPr>
              <w:spacing w:before="20" w:after="20"/>
            </w:pPr>
            <w:r>
              <w:rPr>
                <w:color w:val="1E293B"/>
                <w:sz w:val="19"/>
              </w:rPr>
              <w:t>thermodynamics.py — rg_flow_lambda, rg_fixed_point</w:t>
            </w:r>
          </w:p>
        </w:tc>
      </w:tr>
      <w:tr>
        <w:tc>
          <w:tcPr>
            <w:tcW w:type="pct" w:w="1700"/>
            <w:shd w:val="clear" w:fill="F4F8F6"/>
          </w:tcPr>
          <w:p>
            <w:pPr>
              <w:spacing w:before="20" w:after="20"/>
            </w:pPr>
            <w:r>
              <w:rPr>
                <w:b/>
                <w:color w:val="0E7FA8"/>
                <w:sz w:val="19"/>
              </w:rPr>
              <w:t>§7 SFF &amp; metric heatmap</w:t>
            </w:r>
          </w:p>
        </w:tc>
        <w:tc>
          <w:tcPr>
            <w:tcW w:type="pct" w:w="3300"/>
            <w:shd w:val="clear" w:fill="F4F8F6"/>
          </w:tcPr>
          <w:p>
            <w:pPr>
              <w:spacing w:before="20" w:after="20"/>
            </w:pPr>
            <w:r>
              <w:rPr>
                <w:color w:val="1E293B"/>
                <w:sz w:val="19"/>
              </w:rPr>
              <w:t>charts.py / charts_3d.py; scripts/gen_charts.py (600 dpi)</w:t>
            </w:r>
          </w:p>
        </w:tc>
      </w:tr>
    </w:tbl>
    <w:p>
      <w:pPr>
        <w:spacing w:after="40"/>
      </w:pPr>
    </w:p>
    <w:p>
      <w:pPr>
        <w:pStyle w:val="Heading1"/>
        <w:keepNext/>
      </w:pPr>
      <w:r>
        <w:rPr>
          <w:b/>
          <w:color w:val="0A9B72"/>
          <w:sz w:val="32"/>
        </w:rPr>
        <w:t>Appendix B. Reproducing the Advanced Experiments</w:t>
      </w:r>
    </w:p>
    <w:p>
      <w:pPr>
        <w:spacing w:after="120" w:line="300" w:lineRule="auto"/>
        <w:jc w:val="both"/>
      </w:pPr>
      <w:r>
        <w:rPr>
          <w:i w:val="0"/>
          <w:color w:val="1E293B"/>
          <w:sz w:val="22"/>
        </w:rPr>
        <w:t>The temperature sweep of Section 5.1 is driven through the scenario runner: temperature is a merged parameter of every scenario in laboratory/shared/scenarios.json, and the sweep is a loop over that parameter with the report writer stamping each run. Cross-layer transfer (§5.2) and its 3-D visualisation are implemented in research_3d.py with charts_3d.py; the IPR layer profiles of §5.3 come from the eigenvector diagnostics of dyson_brownian.py; the prompt-length dependence of §5.4 is reproducible with corpus_builder_v3.py, which assembles prompt sets of controlled length. One command regenerates the full experimental grid:</w:t>
      </w:r>
    </w:p>
    <w:p>
      <w:pPr>
        <w:spacing w:before="80" w:after="0"/>
        <w:ind w:left="280"/>
        <w:shd w:val="clear" w:fill="0E1726"/>
      </w:pPr>
      <w:r>
        <w:rPr>
          <w:rFonts w:ascii="Consolas" w:hAnsi="Consolas"/>
          <w:color w:val="D1FAE5"/>
          <w:sz w:val="18"/>
        </w:rPr>
        <w:t xml:space="preserve">  cd laboratory/python/lab_en</w:t>
      </w:r>
    </w:p>
    <w:p>
      <w:pPr>
        <w:spacing w:before="0" w:after="0"/>
        <w:ind w:left="280"/>
        <w:shd w:val="clear" w:fill="0E1726"/>
      </w:pPr>
      <w:r>
        <w:rPr>
          <w:rFonts w:ascii="Consolas" w:hAnsi="Consolas"/>
          <w:color w:val="D1FAE5"/>
          <w:sz w:val="18"/>
        </w:rPr>
        <w:t xml:space="preserve">  python run_full_lab.py            # full grid → results/reports/&lt;timestamp&gt;_*</w:t>
      </w:r>
    </w:p>
    <w:p>
      <w:pPr>
        <w:spacing w:before="0" w:after="0"/>
        <w:ind w:left="280"/>
        <w:shd w:val="clear" w:fill="0E1726"/>
      </w:pPr>
      <w:r>
        <w:rPr>
          <w:rFonts w:ascii="Consolas" w:hAnsi="Consolas"/>
          <w:color w:val="D1FAE5"/>
          <w:sz w:val="18"/>
        </w:rPr>
        <w:t xml:space="preserve">  python research_3d.py             # cross-layer transfer + 3-D plates</w:t>
      </w:r>
    </w:p>
    <w:p>
      <w:pPr>
        <w:spacing w:before="0" w:after="80"/>
        <w:ind w:left="280"/>
        <w:shd w:val="clear" w:fill="0E1726"/>
      </w:pPr>
      <w:r>
        <w:rPr>
          <w:rFonts w:ascii="Consolas" w:hAnsi="Consolas"/>
          <w:color w:val="D1FAE5"/>
          <w:sz w:val="18"/>
        </w:rPr>
        <w:t xml:space="preserve">  python probe_real_gpt2.py         # real-GPT-2 residual-stream sweep</w:t>
      </w:r>
    </w:p>
    <w:p>
      <w:pPr>
        <w:pStyle w:val="Heading1"/>
        <w:keepNext/>
      </w:pPr>
      <w:r>
        <w:rPr>
          <w:b/>
          <w:color w:val="0A9B72"/>
          <w:sz w:val="32"/>
        </w:rPr>
        <w:t>Appendix C. Figure Atlas</w:t>
      </w:r>
    </w:p>
    <w:p>
      <w:pPr>
        <w:spacing w:before="160" w:after="40"/>
        <w:jc w:val="center"/>
      </w:pPr>
      <w:r>
        <w:drawing>
          <wp:inline>
            <wp:extent cx="4937760" cy="3117673"/>
            <wp:docPr id="28" name="Picture 28"/>
            <wp:cNvGraphicFramePr>
              <a:graphicFrameLocks noChangeAspect="1"/>
            </wp:cNvGraphicFramePr>
            <a:graphic>
              <a:graphicData uri="http://schemas.openxmlformats.org/drawingml/2006/picture">
                <pic:pic>
                  <pic:nvPicPr>
                    <pic:cNvPr id="0" name="dyson_brownian.png"/>
                    <pic:cNvPicPr/>
                  </pic:nvPicPr>
                  <pic:blipFill>
                    <a:blip r:embed="rId39"/>
                    <a:stretch>
                      <a:fillRect/>
                    </a:stretch>
                  </pic:blipFill>
                  <pic:spPr>
                    <a:xfrm>
                      <a:off x="0" y="0"/>
                      <a:ext cx="4937760" cy="3117673"/>
                    </a:xfrm>
                    <a:prstGeom prst="rect"/>
                  </pic:spPr>
                </pic:pic>
              </a:graphicData>
            </a:graphic>
          </wp:inline>
        </w:drawing>
      </w:r>
    </w:p>
    <w:p>
      <w:pPr>
        <w:spacing w:after="200"/>
        <w:jc w:val="center"/>
      </w:pPr>
      <w:r>
        <w:rPr>
          <w:i/>
          <w:color w:val="64748B"/>
          <w:sz w:val="17"/>
        </w:rPr>
        <w:t>Plate C.1. Dyson Brownian motion of activation covariances — the dynamical picture behind the RG-flow interpretation of §6.2.</w:t>
      </w:r>
    </w:p>
    <w:p>
      <w:pPr>
        <w:spacing w:before="160" w:after="40"/>
        <w:jc w:val="center"/>
      </w:pPr>
      <w:r>
        <w:drawing>
          <wp:inline>
            <wp:extent cx="4937760" cy="3168574"/>
            <wp:docPr id="29" name="Picture 29"/>
            <wp:cNvGraphicFramePr>
              <a:graphicFrameLocks noChangeAspect="1"/>
            </wp:cNvGraphicFramePr>
            <a:graphic>
              <a:graphicData uri="http://schemas.openxmlformats.org/drawingml/2006/picture">
                <pic:pic>
                  <pic:nvPicPr>
                    <pic:cNvPr id="0" name="bbp_transition.png"/>
                    <pic:cNvPicPr/>
                  </pic:nvPicPr>
                  <pic:blipFill>
                    <a:blip r:embed="rId40"/>
                    <a:stretch>
                      <a:fillRect/>
                    </a:stretch>
                  </pic:blipFill>
                  <pic:spPr>
                    <a:xfrm>
                      <a:off x="0" y="0"/>
                      <a:ext cx="4937760" cy="3168574"/>
                    </a:xfrm>
                    <a:prstGeom prst="rect"/>
                  </pic:spPr>
                </pic:pic>
              </a:graphicData>
            </a:graphic>
          </wp:inline>
        </w:drawing>
      </w:r>
    </w:p>
    <w:p>
      <w:pPr>
        <w:spacing w:after="200"/>
        <w:jc w:val="center"/>
      </w:pPr>
      <w:r>
        <w:rPr>
          <w:i/>
          <w:color w:val="64748B"/>
          <w:sz w:val="17"/>
        </w:rPr>
        <w:t>Plate C.2. BBP spike: λ_max(θ) through the critical threshold — the phase-transition diagram of §6.5.</w:t>
      </w:r>
    </w:p>
    <w:p>
      <w:pPr>
        <w:spacing w:before="160" w:after="40"/>
        <w:jc w:val="center"/>
      </w:pPr>
      <w:r>
        <w:drawing>
          <wp:inline>
            <wp:extent cx="4937760" cy="2736272"/>
            <wp:docPr id="30" name="Picture 30"/>
            <wp:cNvGraphicFramePr>
              <a:graphicFrameLocks noChangeAspect="1"/>
            </wp:cNvGraphicFramePr>
            <a:graphic>
              <a:graphicData uri="http://schemas.openxmlformats.org/drawingml/2006/picture">
                <pic:pic>
                  <pic:nvPicPr>
                    <pic:cNvPr id="0" name="entropy_heatmap.png"/>
                    <pic:cNvPicPr/>
                  </pic:nvPicPr>
                  <pic:blipFill>
                    <a:blip r:embed="rId41"/>
                    <a:stretch>
                      <a:fillRect/>
                    </a:stretch>
                  </pic:blipFill>
                  <pic:spPr>
                    <a:xfrm>
                      <a:off x="0" y="0"/>
                      <a:ext cx="4937760" cy="2736272"/>
                    </a:xfrm>
                    <a:prstGeom prst="rect"/>
                  </pic:spPr>
                </pic:pic>
              </a:graphicData>
            </a:graphic>
          </wp:inline>
        </w:drawing>
      </w:r>
    </w:p>
    <w:p>
      <w:pPr>
        <w:spacing w:after="200"/>
        <w:jc w:val="center"/>
      </w:pPr>
      <w:r>
        <w:rPr>
          <w:i/>
          <w:color w:val="64748B"/>
          <w:sz w:val="17"/>
        </w:rPr>
        <w:t>Plate C.3. Comprehensive layer × metric heatmap — the one-glance summary of the suite of Section 7.2.</w:t>
      </w:r>
    </w:p>
    <w:p>
      <w:pPr>
        <w:spacing w:before="160" w:after="40"/>
        <w:jc w:val="center"/>
      </w:pPr>
      <w:r>
        <w:drawing>
          <wp:inline>
            <wp:extent cx="4937760" cy="3207769"/>
            <wp:docPr id="31" name="Picture 31"/>
            <wp:cNvGraphicFramePr>
              <a:graphicFrameLocks noChangeAspect="1"/>
            </wp:cNvGraphicFramePr>
            <a:graphic>
              <a:graphicData uri="http://schemas.openxmlformats.org/drawingml/2006/picture">
                <pic:pic>
                  <pic:nvPicPr>
                    <pic:cNvPr id="0" name="repo_dashboard.png"/>
                    <pic:cNvPicPr/>
                  </pic:nvPicPr>
                  <pic:blipFill>
                    <a:blip r:embed="rId42"/>
                    <a:stretch>
                      <a:fillRect/>
                    </a:stretch>
                  </pic:blipFill>
                  <pic:spPr>
                    <a:xfrm>
                      <a:off x="0" y="0"/>
                      <a:ext cx="4937760" cy="3207769"/>
                    </a:xfrm>
                    <a:prstGeom prst="rect"/>
                  </pic:spPr>
                </pic:pic>
              </a:graphicData>
            </a:graphic>
          </wp:inline>
        </w:drawing>
      </w:r>
    </w:p>
    <w:p>
      <w:pPr>
        <w:spacing w:after="200"/>
        <w:jc w:val="center"/>
      </w:pPr>
      <w:r>
        <w:rPr>
          <w:i/>
          <w:color w:val="64748B"/>
          <w:sz w:val="17"/>
        </w:rPr>
        <w:t>Plate C.4. Repository dashboard at the time of this edition: modules, tests, laboratories, artefacts.</w:t>
      </w:r>
    </w:p>
    <w:p>
      <w:pPr>
        <w:pStyle w:val="Heading1"/>
        <w:keepNext/>
      </w:pPr>
      <w:r>
        <w:rPr>
          <w:b/>
          <w:color w:val="0A9B72"/>
          <w:sz w:val="32"/>
        </w:rPr>
        <w:t>Appendix D. Verification and Results Registry</w:t>
      </w:r>
    </w:p>
    <w:p>
      <w:pPr>
        <w:spacing w:after="120" w:line="300" w:lineRule="auto"/>
        <w:jc w:val="both"/>
      </w:pPr>
      <w:r>
        <w:rPr>
          <w:i w:val="0"/>
          <w:color w:val="1E293B"/>
          <w:sz w:val="22"/>
        </w:rPr>
        <w:t>The suite counts remain 480 test functions across the core library and the reference laboratory, and every claim of the main text maps to at least one of them: bulk containment to the MP tests, supercritical separation to the BBP tests, moment calibration to the Tracy–Widom tests, and the free-energy mode classification to the thermodynamics tests. The measured registry below is shared verbatim with the other Aurora editions.</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2433"/>
        <w:gridCol w:w="3744"/>
      </w:tblGrid>
      <w:tr>
        <w:trPr>
          <w:tblHeader/>
          <w:cantSplit/>
        </w:trPr>
        <w:tc>
          <w:tcPr>
            <w:tcW w:type="pct" w:w="1700"/>
            <w:shd w:val="clear" w:fill="050510"/>
          </w:tcPr>
          <w:p>
            <w:pPr>
              <w:spacing w:before="40" w:after="40"/>
            </w:pPr>
            <w:r>
              <w:rPr>
                <w:b/>
                <w:color w:val="00FFA3"/>
                <w:sz w:val="19"/>
              </w:rPr>
              <w:t>Measured value</w:t>
            </w:r>
          </w:p>
        </w:tc>
        <w:tc>
          <w:tcPr>
            <w:tcW w:type="pct" w:w="1300"/>
            <w:shd w:val="clear" w:fill="050510"/>
          </w:tcPr>
          <w:p>
            <w:pPr>
              <w:spacing w:before="40" w:after="40"/>
            </w:pPr>
            <w:r>
              <w:rPr>
                <w:b/>
                <w:color w:val="7DD3FC"/>
                <w:sz w:val="19"/>
              </w:rPr>
              <w:t>Number</w:t>
            </w:r>
          </w:p>
        </w:tc>
        <w:tc>
          <w:tcPr>
            <w:tcW w:type="pct" w:w="2000"/>
            <w:shd w:val="clear" w:fill="050510"/>
          </w:tcPr>
          <w:p>
            <w:pPr>
              <w:spacing w:before="40" w:after="40"/>
            </w:pPr>
            <w:r>
              <w:rPr>
                <w:b/>
                <w:color w:val="00FFA3"/>
                <w:sz w:val="19"/>
              </w:rPr>
              <w:t>Source in the repository</w:t>
            </w:r>
          </w:p>
        </w:tc>
      </w:tr>
      <w:tr>
        <w:tc>
          <w:tcPr>
            <w:tcW w:type="pct" w:w="1700"/>
          </w:tcPr>
          <w:p>
            <w:pPr>
              <w:spacing w:before="20" w:after="20"/>
            </w:pPr>
            <w:r>
              <w:rPr>
                <w:b/>
                <w:color w:val="0A9B72"/>
                <w:sz w:val="19"/>
              </w:rPr>
              <w:t>max λ_max (4-layer sweep)</w:t>
            </w:r>
          </w:p>
        </w:tc>
        <w:tc>
          <w:tcPr>
            <w:tcW w:type="pct" w:w="1300"/>
          </w:tcPr>
          <w:p>
            <w:pPr>
              <w:spacing w:before="20" w:after="20"/>
            </w:pPr>
            <w:r>
              <w:rPr>
                <w:color w:val="1E293B"/>
                <w:sz w:val="19"/>
              </w:rPr>
              <w:t>0.012519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min λ_min (4-layer sweep)</w:t>
            </w:r>
          </w:p>
        </w:tc>
        <w:tc>
          <w:tcPr>
            <w:tcW w:type="pct" w:w="1300"/>
            <w:shd w:val="clear" w:fill="F4F8F6"/>
          </w:tcPr>
          <w:p>
            <w:pPr>
              <w:spacing w:before="20" w:after="20"/>
            </w:pPr>
            <w:r>
              <w:rPr>
                <w:color w:val="1E293B"/>
                <w:sz w:val="19"/>
              </w:rPr>
              <w:t>0.000172</w:t>
            </w:r>
          </w:p>
        </w:tc>
        <w:tc>
          <w:tcPr>
            <w:tcW w:type="pct" w:w="2000"/>
            <w:shd w:val="clear" w:fill="F4F8F6"/>
          </w:tcPr>
          <w:p>
            <w:pPr>
              <w:spacing w:before="20" w:after="20"/>
            </w:pPr>
            <w:r>
              <w:rPr>
                <w:color w:val="1E293B"/>
                <w:sz w:val="19"/>
              </w:rPr>
              <w:t>laboratory/results/reports — verify_exp1</w:t>
            </w:r>
          </w:p>
        </w:tc>
      </w:tr>
      <w:tr>
        <w:tc>
          <w:tcPr>
            <w:tcW w:type="pct" w:w="1700"/>
          </w:tcPr>
          <w:p>
            <w:pPr>
              <w:spacing w:before="20" w:after="20"/>
            </w:pPr>
            <w:r>
              <w:rPr>
                <w:b/>
                <w:color w:val="0A9B72"/>
                <w:sz w:val="19"/>
              </w:rPr>
              <w:t>mean spectral gap</w:t>
            </w:r>
          </w:p>
        </w:tc>
        <w:tc>
          <w:tcPr>
            <w:tcW w:type="pct" w:w="1300"/>
          </w:tcPr>
          <w:p>
            <w:pPr>
              <w:spacing w:before="20" w:after="20"/>
            </w:pPr>
            <w:r>
              <w:rPr>
                <w:color w:val="1E293B"/>
                <w:sz w:val="19"/>
              </w:rPr>
              <w:t>0.005859</w:t>
            </w:r>
          </w:p>
        </w:tc>
        <w:tc>
          <w:tcPr>
            <w:tcW w:type="pct" w:w="2000"/>
          </w:tcPr>
          <w:p>
            <w:pPr>
              <w:spacing w:before="20" w:after="20"/>
            </w:pPr>
            <w:r>
              <w:rPr>
                <w:color w:val="1E293B"/>
                <w:sz w:val="19"/>
              </w:rPr>
              <w:t>laboratory/results/reports — verify_exp1</w:t>
            </w:r>
          </w:p>
        </w:tc>
      </w:tr>
      <w:tr>
        <w:tc>
          <w:tcPr>
            <w:tcW w:type="pct" w:w="1700"/>
            <w:shd w:val="clear" w:fill="F4F8F6"/>
          </w:tcPr>
          <w:p>
            <w:pPr>
              <w:spacing w:before="20" w:after="20"/>
            </w:pPr>
            <w:r>
              <w:rPr>
                <w:b/>
                <w:color w:val="0E7FA8"/>
                <w:sz w:val="19"/>
              </w:rPr>
              <w:t>SCEN-LIE-01 match rate</w:t>
            </w:r>
          </w:p>
        </w:tc>
        <w:tc>
          <w:tcPr>
            <w:tcW w:type="pct" w:w="1300"/>
            <w:shd w:val="clear" w:fill="F4F8F6"/>
          </w:tcPr>
          <w:p>
            <w:pPr>
              <w:spacing w:before="20" w:after="20"/>
            </w:pPr>
            <w:r>
              <w:rPr>
                <w:color w:val="1E293B"/>
                <w:sz w:val="19"/>
              </w:rPr>
              <w:t>0.00</w:t>
            </w:r>
          </w:p>
        </w:tc>
        <w:tc>
          <w:tcPr>
            <w:tcW w:type="pct" w:w="2000"/>
            <w:shd w:val="clear" w:fill="F4F8F6"/>
          </w:tcPr>
          <w:p>
            <w:pPr>
              <w:spacing w:before="20" w:after="20"/>
            </w:pPr>
            <w:r>
              <w:rPr>
                <w:color w:val="1E293B"/>
                <w:sz w:val="19"/>
              </w:rPr>
              <w:t>shared/scenarios.json run 2026-08-13</w:t>
            </w:r>
          </w:p>
        </w:tc>
      </w:tr>
      <w:tr>
        <w:tc>
          <w:tcPr>
            <w:tcW w:type="pct" w:w="1700"/>
          </w:tcPr>
          <w:p>
            <w:pPr>
              <w:spacing w:before="20" w:after="20"/>
            </w:pPr>
            <w:r>
              <w:rPr>
                <w:b/>
                <w:color w:val="0A9B72"/>
                <w:sz w:val="19"/>
              </w:rPr>
              <w:t>SCEN-LIE-01 mean deception</w:t>
            </w:r>
          </w:p>
        </w:tc>
        <w:tc>
          <w:tcPr>
            <w:tcW w:type="pct" w:w="1300"/>
          </w:tcPr>
          <w:p>
            <w:pPr>
              <w:spacing w:before="20" w:after="20"/>
            </w:pPr>
            <w:r>
              <w:rPr>
                <w:color w:val="1E293B"/>
                <w:sz w:val="19"/>
              </w:rPr>
              <w:t>0.4080</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SCEN-LIE-01 mean honesty</w:t>
            </w:r>
          </w:p>
        </w:tc>
        <w:tc>
          <w:tcPr>
            <w:tcW w:type="pct" w:w="1300"/>
            <w:shd w:val="clear" w:fill="F4F8F6"/>
          </w:tcPr>
          <w:p>
            <w:pPr>
              <w:spacing w:before="20" w:after="20"/>
            </w:pPr>
            <w:r>
              <w:rPr>
                <w:color w:val="1E293B"/>
                <w:sz w:val="19"/>
              </w:rPr>
              <w:t>0.2868</w:t>
            </w:r>
          </w:p>
        </w:tc>
        <w:tc>
          <w:tcPr>
            <w:tcW w:type="pct" w:w="2000"/>
            <w:shd w:val="clear" w:fill="F4F8F6"/>
          </w:tcPr>
          <w:p>
            <w:pPr>
              <w:spacing w:before="20" w:after="20"/>
            </w:pPr>
            <w:r>
              <w:rPr>
                <w:color w:val="1E293B"/>
                <w:sz w:val="19"/>
              </w:rPr>
              <w:t>laboratory/results/reports</w:t>
            </w:r>
          </w:p>
        </w:tc>
      </w:tr>
      <w:tr>
        <w:tc>
          <w:tcPr>
            <w:tcW w:type="pct" w:w="1700"/>
          </w:tcPr>
          <w:p>
            <w:pPr>
              <w:spacing w:before="20" w:after="20"/>
            </w:pPr>
            <w:r>
              <w:rPr>
                <w:b/>
                <w:color w:val="0A9B72"/>
                <w:sz w:val="19"/>
              </w:rPr>
              <w:t>SCEN-LIE-01 mean hallucination</w:t>
            </w:r>
          </w:p>
        </w:tc>
        <w:tc>
          <w:tcPr>
            <w:tcW w:type="pct" w:w="1300"/>
          </w:tcPr>
          <w:p>
            <w:pPr>
              <w:spacing w:before="20" w:after="20"/>
            </w:pPr>
            <w:r>
              <w:rPr>
                <w:color w:val="1E293B"/>
                <w:sz w:val="19"/>
              </w:rPr>
              <w:t>0.3084</w:t>
            </w:r>
          </w:p>
        </w:tc>
        <w:tc>
          <w:tcPr>
            <w:tcW w:type="pct" w:w="2000"/>
          </w:tcPr>
          <w:p>
            <w:pPr>
              <w:spacing w:before="20" w:after="20"/>
            </w:pPr>
            <w:r>
              <w:rPr>
                <w:color w:val="1E293B"/>
                <w:sz w:val="19"/>
              </w:rPr>
              <w:t>laboratory/results/reports</w:t>
            </w:r>
          </w:p>
        </w:tc>
      </w:tr>
      <w:tr>
        <w:tc>
          <w:tcPr>
            <w:tcW w:type="pct" w:w="1700"/>
            <w:shd w:val="clear" w:fill="F4F8F6"/>
          </w:tcPr>
          <w:p>
            <w:pPr>
              <w:spacing w:before="20" w:after="20"/>
            </w:pPr>
            <w:r>
              <w:rPr>
                <w:b/>
                <w:color w:val="0E7FA8"/>
                <w:sz w:val="19"/>
              </w:rPr>
              <w:t>TinyGPT-S control: val loss</w:t>
            </w:r>
          </w:p>
        </w:tc>
        <w:tc>
          <w:tcPr>
            <w:tcW w:type="pct" w:w="1300"/>
            <w:shd w:val="clear" w:fill="F4F8F6"/>
          </w:tcPr>
          <w:p>
            <w:pPr>
              <w:spacing w:before="20" w:after="20"/>
            </w:pPr>
            <w:r>
              <w:rPr>
                <w:color w:val="1E293B"/>
                <w:sz w:val="19"/>
              </w:rPr>
              <w:t>6.2277 → 2.0393 (40 epochs)</w:t>
            </w:r>
          </w:p>
        </w:tc>
        <w:tc>
          <w:tcPr>
            <w:tcW w:type="pct" w:w="2000"/>
            <w:shd w:val="clear" w:fill="F4F8F6"/>
          </w:tcPr>
          <w:p>
            <w:pPr>
              <w:spacing w:before="20" w:after="20"/>
            </w:pPr>
            <w:r>
              <w:rPr>
                <w:color w:val="1E293B"/>
                <w:sz w:val="19"/>
              </w:rPr>
              <w:t>research/tinygpt_formula/scaling</w:t>
            </w:r>
          </w:p>
        </w:tc>
      </w:tr>
      <w:tr>
        <w:tc>
          <w:tcPr>
            <w:tcW w:type="pct" w:w="1700"/>
          </w:tcPr>
          <w:p>
            <w:pPr>
              <w:spacing w:before="20" w:after="20"/>
            </w:pPr>
            <w:r>
              <w:rPr>
                <w:b/>
                <w:color w:val="0A9B72"/>
                <w:sz w:val="19"/>
              </w:rPr>
              <w:t>TinyGPT-S control: format match</w:t>
            </w:r>
          </w:p>
        </w:tc>
        <w:tc>
          <w:tcPr>
            <w:tcW w:type="pct" w:w="1300"/>
          </w:tcPr>
          <w:p>
            <w:pPr>
              <w:spacing w:before="20" w:after="20"/>
            </w:pPr>
            <w:r>
              <w:rPr>
                <w:color w:val="1E293B"/>
                <w:sz w:val="19"/>
              </w:rPr>
              <w:t>0.4702</w:t>
            </w:r>
          </w:p>
        </w:tc>
        <w:tc>
          <w:tcPr>
            <w:tcW w:type="pct" w:w="2000"/>
          </w:tcPr>
          <w:p>
            <w:pPr>
              <w:spacing w:before="20" w:after="20"/>
            </w:pPr>
            <w:r>
              <w:rPr>
                <w:color w:val="1E293B"/>
                <w:sz w:val="19"/>
              </w:rPr>
              <w:t>research/tinygpt_formula/scaling</w:t>
            </w:r>
          </w:p>
        </w:tc>
      </w:tr>
      <w:tr>
        <w:tc>
          <w:tcPr>
            <w:tcW w:type="pct" w:w="1700"/>
            <w:shd w:val="clear" w:fill="F4F8F6"/>
          </w:tcPr>
          <w:p>
            <w:pPr>
              <w:spacing w:before="20" w:after="20"/>
            </w:pPr>
            <w:r>
              <w:rPr>
                <w:b/>
                <w:color w:val="0E7FA8"/>
                <w:sz w:val="19"/>
              </w:rPr>
              <w:t>Held-out confident hallucination rate</w:t>
            </w:r>
          </w:p>
        </w:tc>
        <w:tc>
          <w:tcPr>
            <w:tcW w:type="pct" w:w="1300"/>
            <w:shd w:val="clear" w:fill="F4F8F6"/>
          </w:tcPr>
          <w:p>
            <w:pPr>
              <w:spacing w:before="20" w:after="20"/>
            </w:pPr>
            <w:r>
              <w:rPr>
                <w:color w:val="1E293B"/>
                <w:sz w:val="19"/>
              </w:rPr>
              <w:t>1.00 (24/24 formatted)</w:t>
            </w:r>
          </w:p>
        </w:tc>
        <w:tc>
          <w:tcPr>
            <w:tcW w:type="pct" w:w="2000"/>
            <w:shd w:val="clear" w:fill="F4F8F6"/>
          </w:tcPr>
          <w:p>
            <w:pPr>
              <w:spacing w:before="20" w:after="20"/>
            </w:pPr>
            <w:r>
              <w:rPr>
                <w:color w:val="1E293B"/>
                <w:sz w:val="19"/>
              </w:rPr>
              <w:t>scaling_report.json</w:t>
            </w:r>
          </w:p>
        </w:tc>
      </w:tr>
      <w:tr>
        <w:tc>
          <w:tcPr>
            <w:tcW w:type="pct" w:w="1700"/>
          </w:tcPr>
          <w:p>
            <w:pPr>
              <w:spacing w:before="20" w:after="20"/>
            </w:pPr>
            <w:r>
              <w:rPr>
                <w:b/>
                <w:color w:val="0A9B72"/>
                <w:sz w:val="19"/>
              </w:rPr>
              <w:t>Held-out numeric accuracy</w:t>
            </w:r>
          </w:p>
        </w:tc>
        <w:tc>
          <w:tcPr>
            <w:tcW w:type="pct" w:w="1300"/>
          </w:tcPr>
          <w:p>
            <w:pPr>
              <w:spacing w:before="20" w:after="20"/>
            </w:pPr>
            <w:r>
              <w:rPr>
                <w:color w:val="1E293B"/>
                <w:sz w:val="19"/>
              </w:rPr>
              <w:t>0.00 of 37 tasks</w:t>
            </w:r>
          </w:p>
        </w:tc>
        <w:tc>
          <w:tcPr>
            <w:tcW w:type="pct" w:w="2000"/>
          </w:tcPr>
          <w:p>
            <w:pPr>
              <w:spacing w:before="20" w:after="20"/>
            </w:pPr>
            <w:r>
              <w:rPr>
                <w:color w:val="1E293B"/>
                <w:sz w:val="19"/>
              </w:rPr>
              <w:t>scaling_report.json</w:t>
            </w:r>
          </w:p>
        </w:tc>
      </w:tr>
      <w:tr>
        <w:tc>
          <w:tcPr>
            <w:tcW w:type="pct" w:w="1700"/>
            <w:shd w:val="clear" w:fill="F4F8F6"/>
          </w:tcPr>
          <w:p>
            <w:pPr>
              <w:spacing w:before="20" w:after="20"/>
            </w:pPr>
            <w:r>
              <w:rPr>
                <w:b/>
                <w:color w:val="0E7FA8"/>
                <w:sz w:val="19"/>
              </w:rPr>
              <w:t>Reported artifacts</w:t>
            </w:r>
          </w:p>
        </w:tc>
        <w:tc>
          <w:tcPr>
            <w:tcW w:type="pct" w:w="1300"/>
            <w:shd w:val="clear" w:fill="F4F8F6"/>
          </w:tcPr>
          <w:p>
            <w:pPr>
              <w:spacing w:before="20" w:after="20"/>
            </w:pPr>
            <w:r>
              <w:rPr>
                <w:color w:val="1E293B"/>
                <w:sz w:val="19"/>
              </w:rPr>
              <w:t>181 files</w:t>
            </w:r>
          </w:p>
        </w:tc>
        <w:tc>
          <w:tcPr>
            <w:tcW w:type="pct" w:w="2000"/>
            <w:shd w:val="clear" w:fill="F4F8F6"/>
          </w:tcPr>
          <w:p>
            <w:pPr>
              <w:spacing w:before="20" w:after="20"/>
            </w:pPr>
            <w:r>
              <w:rPr>
                <w:color w:val="1E293B"/>
                <w:sz w:val="19"/>
              </w:rPr>
              <w:t>laboratory/results/reports/</w:t>
            </w:r>
          </w:p>
        </w:tc>
      </w:tr>
    </w:tbl>
    <w:p>
      <w:pPr>
        <w:spacing w:after="40"/>
      </w:pPr>
    </w:p>
    <w:p>
      <w:pPr>
        <w:spacing w:after="120" w:line="300" w:lineRule="auto"/>
        <w:jc w:val="both"/>
      </w:pPr>
      <w:r>
        <w:rPr>
          <w:i w:val="0"/>
          <w:color w:val="1E293B"/>
          <w:sz w:val="22"/>
        </w:rPr>
        <w:t>Version 2 of this preprint (monograph M04) revises the discussion in the light of the polyglot scale-out and adds the comprehensive heatmap; the theoretical foundation common to both versions is developed in monograph M01.</w:t>
      </w:r>
    </w:p>
    <w:p>
      <w:pPr>
        <w:pStyle w:val="Heading1"/>
        <w:keepNext/>
      </w:pPr>
      <w:r>
        <w:rPr>
          <w:b/>
          <w:color w:val="0A9B72"/>
          <w:sz w:val="32"/>
        </w:rPr>
        <w:t>Appendix E. Experiment-to-Command Map and Reproduction</w:t>
      </w:r>
    </w:p>
    <w:p>
      <w:pPr>
        <w:spacing w:after="120" w:line="300" w:lineRule="auto"/>
        <w:jc w:val="both"/>
      </w:pPr>
      <w:r>
        <w:rPr>
          <w:i w:val="0"/>
          <w:color w:val="1E293B"/>
          <w:sz w:val="22"/>
        </w:rPr>
        <w:t>Each advanced experiment of the preprint is one command away from the repository root. The map below lists the canonical entry points; parameters such as temperature, prompt length and layer ranges are merged from the scenario registry, so the same commands reproduce the exact grids behind the figures when the registry matches the version used for the preprint.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3182"/>
        <w:gridCol w:w="6177"/>
      </w:tblGrid>
      <w:tr>
        <w:trPr>
          <w:tblHeader/>
          <w:cantSplit/>
        </w:trPr>
        <w:tc>
          <w:tcPr>
            <w:tcW w:type="pct" w:w="1700"/>
            <w:shd w:val="clear" w:fill="050510"/>
          </w:tcPr>
          <w:p>
            <w:pPr>
              <w:spacing w:before="40" w:after="40"/>
            </w:pPr>
            <w:r>
              <w:rPr>
                <w:b/>
                <w:color w:val="00FFA3"/>
                <w:sz w:val="19"/>
              </w:rPr>
              <w:t>Experiment (main text)</w:t>
            </w:r>
          </w:p>
        </w:tc>
        <w:tc>
          <w:tcPr>
            <w:tcW w:type="pct" w:w="3300"/>
            <w:shd w:val="clear" w:fill="050510"/>
          </w:tcPr>
          <w:p>
            <w:pPr>
              <w:spacing w:before="40" w:after="40"/>
            </w:pPr>
            <w:r>
              <w:rPr>
                <w:b/>
                <w:color w:val="7DD3FC"/>
                <w:sz w:val="19"/>
              </w:rPr>
              <w:t>Command / module</w:t>
            </w:r>
          </w:p>
        </w:tc>
      </w:tr>
      <w:tr>
        <w:tc>
          <w:tcPr>
            <w:tcW w:type="pct" w:w="1700"/>
          </w:tcPr>
          <w:p>
            <w:pPr>
              <w:spacing w:before="20" w:after="20"/>
            </w:pPr>
            <w:r>
              <w:rPr>
                <w:b/>
                <w:color w:val="0A9B72"/>
                <w:sz w:val="19"/>
              </w:rPr>
              <w:t>§5.1 temperature sweep</w:t>
            </w:r>
          </w:p>
        </w:tc>
        <w:tc>
          <w:tcPr>
            <w:tcW w:type="pct" w:w="3300"/>
          </w:tcPr>
          <w:p>
            <w:pPr>
              <w:spacing w:before="20" w:after="20"/>
            </w:pPr>
            <w:r>
              <w:rPr>
                <w:color w:val="1E293B"/>
                <w:sz w:val="19"/>
              </w:rPr>
              <w:t>run_full_lab.py — merged parameter temperature over scenarios</w:t>
            </w:r>
          </w:p>
        </w:tc>
      </w:tr>
      <w:tr>
        <w:tc>
          <w:tcPr>
            <w:tcW w:type="pct" w:w="1700"/>
            <w:shd w:val="clear" w:fill="F4F8F6"/>
          </w:tcPr>
          <w:p>
            <w:pPr>
              <w:spacing w:before="20" w:after="20"/>
            </w:pPr>
            <w:r>
              <w:rPr>
                <w:b/>
                <w:color w:val="0E7FA8"/>
                <w:sz w:val="19"/>
              </w:rPr>
              <w:t>§5.2 cross-layer transfer</w:t>
            </w:r>
          </w:p>
        </w:tc>
        <w:tc>
          <w:tcPr>
            <w:tcW w:type="pct" w:w="3300"/>
            <w:shd w:val="clear" w:fill="F4F8F6"/>
          </w:tcPr>
          <w:p>
            <w:pPr>
              <w:spacing w:before="20" w:after="20"/>
            </w:pPr>
            <w:r>
              <w:rPr>
                <w:color w:val="1E293B"/>
                <w:sz w:val="19"/>
              </w:rPr>
              <w:t>research_3d.py + charts_3d.py</w:t>
            </w:r>
          </w:p>
        </w:tc>
      </w:tr>
      <w:tr>
        <w:tc>
          <w:tcPr>
            <w:tcW w:type="pct" w:w="1700"/>
          </w:tcPr>
          <w:p>
            <w:pPr>
              <w:spacing w:before="20" w:after="20"/>
            </w:pPr>
            <w:r>
              <w:rPr>
                <w:b/>
                <w:color w:val="0A9B72"/>
                <w:sz w:val="19"/>
              </w:rPr>
              <w:t>§5.3 IPR across layers</w:t>
            </w:r>
          </w:p>
        </w:tc>
        <w:tc>
          <w:tcPr>
            <w:tcW w:type="pct" w:w="3300"/>
          </w:tcPr>
          <w:p>
            <w:pPr>
              <w:spacing w:before="20" w:after="20"/>
            </w:pPr>
            <w:r>
              <w:rPr>
                <w:color w:val="1E293B"/>
                <w:sz w:val="19"/>
              </w:rPr>
              <w:t>dyson_brownian.py eigenvectors via probe_real_gpt2.py</w:t>
            </w:r>
          </w:p>
        </w:tc>
      </w:tr>
      <w:tr>
        <w:tc>
          <w:tcPr>
            <w:tcW w:type="pct" w:w="1700"/>
            <w:shd w:val="clear" w:fill="F4F8F6"/>
          </w:tcPr>
          <w:p>
            <w:pPr>
              <w:spacing w:before="20" w:after="20"/>
            </w:pPr>
            <w:r>
              <w:rPr>
                <w:b/>
                <w:color w:val="0E7FA8"/>
                <w:sz w:val="19"/>
              </w:rPr>
              <w:t>§5.4 prompt-length dependence</w:t>
            </w:r>
          </w:p>
        </w:tc>
        <w:tc>
          <w:tcPr>
            <w:tcW w:type="pct" w:w="3300"/>
            <w:shd w:val="clear" w:fill="F4F8F6"/>
          </w:tcPr>
          <w:p>
            <w:pPr>
              <w:spacing w:before="20" w:after="20"/>
            </w:pPr>
            <w:r>
              <w:rPr>
                <w:color w:val="1E293B"/>
                <w:sz w:val="19"/>
              </w:rPr>
              <w:t>corpus_builder_v3.py (controlled-length prompt sets)</w:t>
            </w:r>
          </w:p>
        </w:tc>
      </w:tr>
      <w:tr>
        <w:tc>
          <w:tcPr>
            <w:tcW w:type="pct" w:w="1700"/>
          </w:tcPr>
          <w:p>
            <w:pPr>
              <w:spacing w:before="20" w:after="20"/>
            </w:pPr>
            <w:r>
              <w:rPr>
                <w:b/>
                <w:color w:val="0A9B72"/>
                <w:sz w:val="19"/>
              </w:rPr>
              <w:t>§7.1 empirical SFF</w:t>
            </w:r>
          </w:p>
        </w:tc>
        <w:tc>
          <w:tcPr>
            <w:tcW w:type="pct" w:w="3300"/>
          </w:tcPr>
          <w:p>
            <w:pPr>
              <w:spacing w:before="20" w:after="20"/>
            </w:pPr>
            <w:r>
              <w:rPr>
                <w:color w:val="1E293B"/>
                <w:sz w:val="19"/>
              </w:rPr>
              <w:t>circular_ensembles.form_factor on saved spectra</w:t>
            </w:r>
          </w:p>
        </w:tc>
      </w:tr>
      <w:tr>
        <w:tc>
          <w:tcPr>
            <w:tcW w:type="pct" w:w="1700"/>
            <w:shd w:val="clear" w:fill="F4F8F6"/>
          </w:tcPr>
          <w:p>
            <w:pPr>
              <w:spacing w:before="20" w:after="20"/>
            </w:pPr>
            <w:r>
              <w:rPr>
                <w:b/>
                <w:color w:val="0E7FA8"/>
                <w:sz w:val="19"/>
              </w:rPr>
              <w:t>§7.2 metrics heatmap</w:t>
            </w:r>
          </w:p>
        </w:tc>
        <w:tc>
          <w:tcPr>
            <w:tcW w:type="pct" w:w="3300"/>
            <w:shd w:val="clear" w:fill="F4F8F6"/>
          </w:tcPr>
          <w:p>
            <w:pPr>
              <w:spacing w:before="20" w:after="20"/>
            </w:pPr>
            <w:r>
              <w:rPr>
                <w:color w:val="1E293B"/>
                <w:sz w:val="19"/>
              </w:rPr>
              <w:t>scripts/gen_charts.py (entropy_heatmap plate)</w:t>
            </w:r>
          </w:p>
        </w:tc>
      </w:tr>
    </w:tbl>
    <w:p>
      <w:pPr>
        <w:spacing w:after="40"/>
      </w:pPr>
    </w:p>
    <w:p>
      <w:pPr>
        <w:spacing w:before="80" w:after="0"/>
        <w:ind w:left="280"/>
        <w:shd w:val="clear" w:fill="0E1726"/>
      </w:pPr>
      <w:r>
        <w:rPr>
          <w:rFonts w:ascii="Consolas" w:hAnsi="Consolas"/>
          <w:color w:val="7DD3FC"/>
          <w:sz w:val="18"/>
        </w:rPr>
        <w:t xml:space="preserve">  # 1. clone &amp; install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verify the machinery this monograph relies on</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regenerate the empirical artefacts</w:t>
      </w:r>
    </w:p>
    <w:p>
      <w:pPr>
        <w:spacing w:before="0" w:after="80"/>
        <w:ind w:left="280"/>
        <w:shd w:val="clear" w:fill="0E1726"/>
      </w:pPr>
      <w:r>
        <w:rPr>
          <w:rFonts w:ascii="Consolas" w:hAnsi="Consolas"/>
          <w:color w:val="D1FAE5"/>
          <w:sz w:val="18"/>
        </w:rPr>
        <w:t xml:space="preserve">  cd laboratory/python/lab_en &amp;&amp; python run_full_lab.py</w:t>
      </w:r>
    </w:p>
    <w:p>
      <w:pPr>
        <w:pStyle w:val="Heading1"/>
        <w:keepNext/>
      </w:pPr>
      <w:r>
        <w:rPr>
          <w:b/>
          <w:color w:val="0A9B72"/>
          <w:sz w:val="32"/>
        </w:rPr>
        <w:t>Appendix F. Repository Map</w:t>
      </w:r>
    </w:p>
    <w:p>
      <w:pPr>
        <w:spacing w:after="120" w:line="300" w:lineRule="auto"/>
        <w:jc w:val="both"/>
      </w:pPr>
      <w:r>
        <w:rPr>
          <w:i w:val="0"/>
          <w:color w:val="1E293B"/>
          <w:sz w:val="22"/>
        </w:rPr>
        <w:t>The monographs predate much of the repository, so this closing map gathers in one table the parts of the project a reader of the theory should know about. The guiding principle of the layout is separation of layers: pure mathematics in src/rmt_llm/, empirical harnesses in the laboratories, the self-trained subject model in research/, and the teaching materials in notebooks/ and docs/. Nothing in the table is decorative — every path either produces the numbers quoted in the registries of this edition or reproduces the figures of the main text.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Repository path</w:t>
            </w:r>
          </w:p>
        </w:tc>
        <w:tc>
          <w:tcPr>
            <w:tcW w:type="pct" w:w="3700"/>
            <w:shd w:val="clear" w:fill="050510"/>
          </w:tcPr>
          <w:p>
            <w:pPr>
              <w:spacing w:before="40" w:after="40"/>
            </w:pPr>
            <w:r>
              <w:rPr>
                <w:b/>
                <w:color w:val="7DD3FC"/>
                <w:sz w:val="19"/>
              </w:rPr>
              <w:t>What lives there</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core library — 13 modules of the spectral machinery (MP, BBP, Tracy–Widom, NHSE, Caputo, EP, Keating–Snaith, thermodynamics, circular ensembles, Dyson BM, free probability), 101 tests</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polyglot laboratories in C++, Go, Java, Julia, Python, R and Rust — each in an English (lab_en) and a Russian (lab_ru) edition</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the single source of the 13 behavioural experiments consumed identically by every port</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Vite + React dashboard for laboratory runs, metrics and 3-D plates</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the self-trained model track: formula corpus, TinyGPT v3 trainer, scaling ladder with control arms</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five teaching notebooks — quickstart, TinyGPT training, generation &amp; sampling, multilingual labs, v3 modernizations</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run artefacts (TXT · MD · HTML · TeX · JSON); 181 reports in laboratory/results/reports/ alone</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Black Aurora branding plus the 600-dpi chart atlas (11 plates) reproduced in this edition</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this collection — M01–M06, each in English and Russian Word editions with Aurora covers</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the merged PDF edition of the monograph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MkDocs Material site sources, tutorials and the 2026 roadmap</w:t>
            </w:r>
          </w:p>
        </w:tc>
      </w:tr>
    </w:tbl>
    <w:p>
      <w:pPr>
        <w:spacing w:after="40"/>
      </w:pPr>
    </w:p>
    <w:p>
      <w:pPr>
        <w:spacing w:after="120" w:line="300" w:lineRule="auto"/>
        <w:jc w:val="both"/>
      </w:pPr>
      <w:r>
        <w:rPr>
          <w:i w:val="0"/>
          <w:color w:val="1E293B"/>
          <w:sz w:val="22"/>
        </w:rPr>
        <w:t>The notebook track is the gentlest entry point and doubles as a scripted version of this monograph's experiments; the five notebooks run top to bottom without modification and end at the same v3 pipeline the laboratories use. For readers who prefer a browser, the webapp dashboard renders the same artefacts interactively.</w:t>
      </w:r>
    </w:p>
    <w:p>
      <w:pPr>
        <w:spacing w:after="60" w:line="288" w:lineRule="auto"/>
        <w:ind w:left="320"/>
      </w:pPr>
      <w:r>
        <w:rPr>
          <w:b/>
          <w:color w:val="0A9B72"/>
          <w:sz w:val="21"/>
        </w:rPr>
        <w:t xml:space="preserve">— </w:t>
      </w:r>
      <w:r>
        <w:rPr>
          <w:color w:val="1E293B"/>
          <w:sz w:val="21"/>
        </w:rPr>
        <w:t>01_quickstart.ipynb — from pip install to the first MP plot</w:t>
      </w:r>
    </w:p>
    <w:p>
      <w:pPr>
        <w:spacing w:after="60" w:line="288" w:lineRule="auto"/>
        <w:ind w:left="320"/>
      </w:pPr>
      <w:r>
        <w:rPr>
          <w:b/>
          <w:color w:val="0A9B72"/>
          <w:sz w:val="21"/>
        </w:rPr>
        <w:t xml:space="preserve">— </w:t>
      </w:r>
      <w:r>
        <w:rPr>
          <w:color w:val="1E293B"/>
          <w:sz w:val="21"/>
        </w:rPr>
        <w:t>02_training_tinygpt.ipynb — training the self-contained subject model</w:t>
      </w:r>
    </w:p>
    <w:p>
      <w:pPr>
        <w:spacing w:after="60" w:line="288" w:lineRule="auto"/>
        <w:ind w:left="320"/>
      </w:pPr>
      <w:r>
        <w:rPr>
          <w:b/>
          <w:color w:val="0A9B72"/>
          <w:sz w:val="21"/>
        </w:rPr>
        <w:t xml:space="preserve">— </w:t>
      </w:r>
      <w:r>
        <w:rPr>
          <w:color w:val="1E293B"/>
          <w:sz w:val="21"/>
        </w:rPr>
        <w:t>03_generation_and_sampling.ipynb — sampling modes and their spectral traces</w:t>
      </w:r>
    </w:p>
    <w:p>
      <w:pPr>
        <w:spacing w:after="60" w:line="288" w:lineRule="auto"/>
        <w:ind w:left="320"/>
      </w:pPr>
      <w:r>
        <w:rPr>
          <w:b/>
          <w:color w:val="0A9B72"/>
          <w:sz w:val="21"/>
        </w:rPr>
        <w:t xml:space="preserve">— </w:t>
      </w:r>
      <w:r>
        <w:rPr>
          <w:color w:val="1E293B"/>
          <w:sz w:val="21"/>
        </w:rPr>
        <w:t>04_multilingual_labs.ipynb — the seven-language laboratory in action</w:t>
      </w:r>
    </w:p>
    <w:p>
      <w:pPr>
        <w:spacing w:after="60" w:line="288" w:lineRule="auto"/>
        <w:ind w:left="320"/>
      </w:pPr>
      <w:r>
        <w:rPr>
          <w:b/>
          <w:color w:val="0A9B72"/>
          <w:sz w:val="21"/>
        </w:rPr>
        <w:t xml:space="preserve">— </w:t>
      </w:r>
      <w:r>
        <w:rPr>
          <w:color w:val="1E293B"/>
          <w:sz w:val="21"/>
        </w:rPr>
        <w:t>05_tinygpt_v3_modernizations.ipynb — the v3 trainer, tokenizer and corpus upgrades</w:t>
      </w:r>
    </w:p>
    <w:sectPr>
      <w:headerReference r:id="rId36" w:type="default"/>
      <w:footerReference r:id="rId37" w:type="default"/>
      <w:type w:val="nextPage"/>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4"/>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400" w:lineRule="auto"/>
      <w:ind w:left="0" w:right="0" w:firstLine="0"/>
      <w:jc w:val="left"/>
    </w:pPr>
    <w:rPr>
      <w:rFonts w:ascii="Times New Roman" w:cs="Times New Roman" w:eastAsia="Times New Roman" w:hAnsi="Times New Roman"/>
      <w:b/>
      <w:bCs w:val="1"/>
      <w:i w:val="0"/>
      <w:iCs w:val="0"/>
      <w:smallCaps w:val="0"/>
      <w:strike w:val="0"/>
      <w:color w:val="0A9B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Times New Roman" w:cs="Times New Roman" w:eastAsia="Times New Roman" w:hAnsi="Times New Roman"/>
      <w:b/>
      <w:bCs w:val="1"/>
      <w:i w:val="0"/>
      <w:iCs w:val="0"/>
      <w:smallCaps w:val="0"/>
      <w:strike w:val="0"/>
      <w:color w:val="0E7FA8"/>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40" w:lineRule="auto"/>
      <w:ind w:left="0" w:right="0" w:firstLine="0"/>
      <w:jc w:val="left"/>
    </w:pPr>
    <w:rPr>
      <w:rFonts w:ascii="Times New Roman" w:cs="Times New Roman" w:eastAsia="Times New Roman" w:hAnsi="Times New Roman"/>
      <w:b/>
      <w:bCs w:val="1"/>
      <w:i w:val="0"/>
      <w:iCs w:val="0"/>
      <w:smallCaps w:val="0"/>
      <w:strike w:val="0"/>
      <w:color w:val="6D5BD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bCs w:val="0"/>
      <w:i w:val="1"/>
      <w:iCs w:val="1"/>
      <w:smallCaps w:val="0"/>
      <w:strike w:val="0"/>
      <w:color w:val="C2418F"/>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a1a1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26.png"/><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image" Target="media/image9.png"/><Relationship Id="rId33" Type="http://schemas.openxmlformats.org/officeDocument/2006/relationships/image" Target="media/image4.png"/><Relationship Id="rId10" Type="http://schemas.openxmlformats.org/officeDocument/2006/relationships/image" Target="media/image7.png"/><Relationship Id="rId32" Type="http://schemas.openxmlformats.org/officeDocument/2006/relationships/image" Target="media/image3.png"/><Relationship Id="rId13" Type="http://schemas.openxmlformats.org/officeDocument/2006/relationships/image" Target="media/image11.png"/><Relationship Id="rId35" Type="http://schemas.openxmlformats.org/officeDocument/2006/relationships/image" Target="media/image6.png"/><Relationship Id="rId12" Type="http://schemas.openxmlformats.org/officeDocument/2006/relationships/image" Target="media/image8.png"/><Relationship Id="rId34" Type="http://schemas.openxmlformats.org/officeDocument/2006/relationships/image" Target="media/image5.png"/><Relationship Id="rId15" Type="http://schemas.openxmlformats.org/officeDocument/2006/relationships/image" Target="media/image13.png"/><Relationship Id="rId37" Type="http://schemas.openxmlformats.org/officeDocument/2006/relationships/footer" Target="footer3.xml"/><Relationship Id="rId14" Type="http://schemas.openxmlformats.org/officeDocument/2006/relationships/image" Target="media/image10.png"/><Relationship Id="rId36" Type="http://schemas.openxmlformats.org/officeDocument/2006/relationships/header" Target="header3.xml"/><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4.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
  <cp:lastModifiedBy>Iskhak Hamzatovich Isaev</cp:lastModifiedBy>
  <cp:revision>1</cp:revision>
  <dcterms:created xsi:type="dcterms:W3CDTF">2026-08-06T13:23:23Z</dcterms:created>
  <dcterms:modified xsi:type="dcterms:W3CDTF">2026-08-06T13:23:23Z</dcterms:modified>
  <cp:category/>
</cp:coreProperties>
</file>