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5349240" cy="7566586"/>
            <wp:docPr id="1" name="Picture 1"/>
            <wp:cNvGraphicFramePr>
              <a:graphicFrameLocks noChangeAspect="1"/>
            </wp:cNvGraphicFramePr>
            <a:graphic>
              <a:graphicData uri="http://schemas.openxmlformats.org/drawingml/2006/picture">
                <pic:pic>
                  <pic:nvPicPr>
                    <pic:cNvPr id="0" name="cover_M06_EN.png"/>
                    <pic:cNvPicPr/>
                  </pic:nvPicPr>
                  <pic:blipFill>
                    <a:blip r:embed="rId9"/>
                    <a:stretch>
                      <a:fillRect/>
                    </a:stretch>
                  </pic:blipFill>
                  <pic:spPr>
                    <a:xfrm>
                      <a:off x="0" y="0"/>
                      <a:ext cx="5349240" cy="7566586"/>
                    </a:xfrm>
                    <a:prstGeom prst="rect"/>
                  </pic:spPr>
                </pic:pic>
              </a:graphicData>
            </a:graphic>
          </wp:inline>
        </w:drawing>
      </w:r>
    </w:p>
    <w:p>
      <w:pPr>
        <w:spacing w:before="0" w:after="0"/>
      </w:pPr>
      <w:r>
        <w:rPr>
          <w:sz w:val="4"/>
        </w:rPr>
        <w:br w:type="page"/>
      </w:r>
    </w:p>
    <w:p>
      <w:pPr>
        <w:pStyle w:val="Heading2"/>
      </w:pPr>
      <w:r>
        <w:rPr>
          <w:b/>
          <w:color w:val="0E7FA8"/>
        </w:rPr>
        <w:t>ABSTRACT</w:t>
      </w:r>
    </w:p>
    <w:p>
      <w:r>
        <w:t>Ten independent paths to N_crit:</w:t>
      </w:r>
    </w:p>
    <w:p>
      <w:pPr>
        <w:pStyle w:val="ListBullet"/>
      </w:pPr>
      <w:r>
        <w:t>• Level 1: Phase — φ(N)→γ₁(N)</w:t>
      </w:r>
    </w:p>
    <w:p>
      <w:pPr>
        <w:pStyle w:val="ListBullet"/>
      </w:pPr>
      <w:r>
        <w:t>• Level 2: Operator — b(N)=(ε̄/κ)·(1-(1-κ)^N)</w:t>
      </w:r>
    </w:p>
    <w:p>
      <w:pPr>
        <w:pStyle w:val="ListBullet"/>
      </w:pPr>
      <w:r>
        <w:t>• Level 3: Spectral GUE — D_KL(ρ||ρ_GUE)→min</w:t>
      </w:r>
    </w:p>
    <w:p>
      <w:pPr>
        <w:pStyle w:val="ListBullet"/>
      </w:pPr>
      <w:r>
        <w:t>• Level 4: Thermodynamic — λ_sink, S(N)</w:t>
      </w:r>
    </w:p>
    <w:p>
      <w:pPr>
        <w:pStyle w:val="ListBullet"/>
      </w:pPr>
      <w:r>
        <w:t>• Level 5: Fractional-stochastic — Lévy + Langevin</w:t>
      </w:r>
    </w:p>
    <w:p>
      <w:pPr>
        <w:pStyle w:val="ListBullet"/>
      </w:pPr>
      <w:r>
        <w:t>• Level 6: EP-surfaces — δλ~ε^{1/k}, k→∞</w:t>
      </w:r>
    </w:p>
    <w:p>
      <w:pPr>
        <w:pStyle w:val="ListBullet"/>
      </w:pPr>
      <w:r>
        <w:t>• Level 7: Tracy-Widom GUE — F₂(s)</w:t>
      </w:r>
    </w:p>
    <w:p>
      <w:pPr>
        <w:pStyle w:val="ListBullet"/>
      </w:pPr>
      <w:r>
        <w:t>• Level 8: Quantum channel — Kraus, F&lt;0.85</w:t>
      </w:r>
    </w:p>
    <w:p>
      <w:pPr>
        <w:pStyle w:val="ListBullet"/>
      </w:pPr>
      <w:r>
        <w:t>• Level 9: NHSE — winding number w, topological transition (NEW)</w:t>
      </w:r>
    </w:p>
    <w:p>
      <w:pPr>
        <w:pStyle w:val="ListBullet"/>
      </w:pPr>
      <w:r>
        <w:t>• Level 10: Caputo — fractional-time memory, β∈(0,1) (NEW)</w:t>
      </w:r>
    </w:p>
    <w:p>
      <w:pPr>
        <w:pStyle w:val="Heading2"/>
      </w:pPr>
      <w:r>
        <w:rPr>
          <w:b/>
          <w:color w:val="0E7FA8"/>
        </w:rPr>
        <w:t>1. INTRODUCTION</w:t>
      </w:r>
    </w:p>
    <w:p>
      <w:pPr>
        <w:pStyle w:val="Heading3"/>
      </w:pPr>
      <w:r>
        <w:rPr>
          <w:b/>
          <w:color w:val="6D5BD0"/>
        </w:rPr>
        <w:t>1.1. Logical Chain</w:t>
      </w:r>
    </w:p>
    <w:p>
      <w:pPr>
        <w:pStyle w:val="Heading3"/>
      </w:pPr>
      <w:r>
        <w:rPr>
          <w:b/>
          <w:color w:val="6D5BD0"/>
        </w:rPr>
        <w:t>1.2. Four Closed Gaps</w:t>
      </w:r>
    </w:p>
    <w:p>
      <w:pPr>
        <w:pStyle w:val="Heading2"/>
      </w:pPr>
      <w:r>
        <w:rPr>
          <w:b/>
          <w:color w:val="0E7FA8"/>
        </w:rPr>
        <w:t>2. TEST SUITE: 0.(9) = 1</w:t>
      </w:r>
    </w:p>
    <w:p>
      <w:pPr>
        <w:pStyle w:val="Heading2"/>
      </w:pPr>
      <w:r>
        <w:rPr>
          <w:b/>
          <w:color w:val="0E7FA8"/>
        </w:rPr>
        <w:t>3. FOUR MECHANISMS AND OPERATOR DYNAMICS</w:t>
      </w:r>
    </w:p>
    <w:p>
      <w:pPr>
        <w:pStyle w:val="Heading3"/>
      </w:pPr>
      <w:r>
        <w:rPr>
          <w:b/>
          <w:color w:val="6D5BD0"/>
        </w:rPr>
        <w:t>3.1. Complex Phase</w:t>
      </w:r>
    </w:p>
    <w:p>
      <w:pPr>
        <w:pStyle w:val="Heading3"/>
      </w:pPr>
      <w:r>
        <w:rPr>
          <w:b/>
          <w:color w:val="6D5BD0"/>
        </w:rPr>
        <w:t>3.2. Operator Evolution</w:t>
      </w:r>
    </w:p>
    <w:p>
      <w:pPr>
        <w:pStyle w:val="Heading3"/>
      </w:pPr>
      <w:r>
        <w:rPr>
          <w:b/>
          <w:color w:val="6D5BD0"/>
        </w:rPr>
        <w:t>3.3. Four Mechanisms with Noise Types</w:t>
      </w:r>
    </w:p>
    <w:p>
      <w:pPr>
        <w:pStyle w:val="Heading3"/>
      </w:pPr>
      <w:r>
        <w:rPr>
          <w:b/>
          <w:color w:val="6D5BD0"/>
        </w:rPr>
        <w:t>3.4. Landau Bifurcation</w:t>
      </w:r>
    </w:p>
    <w:p>
      <w:pPr>
        <w:pStyle w:val="Heading2"/>
      </w:pPr>
      <w:r>
        <w:rPr>
          <w:b/>
          <w:color w:val="0E7FA8"/>
        </w:rPr>
        <w:t>4. NHSE: RIGOROUS DERIVATION OF Im(λ)→0 COLLAPSE (NEW)</w:t>
      </w:r>
    </w:p>
    <w:p>
      <w:pPr>
        <w:pStyle w:val="Heading3"/>
      </w:pPr>
      <w:r>
        <w:rPr>
          <w:b/>
          <w:color w:val="6D5BD0"/>
        </w:rPr>
        <w:t>4.1. Non-Hermitian Skin Effect: Physics of Directionality</w:t>
      </w:r>
    </w:p>
    <w:p>
      <w:r>
        <w:t>In the physics of open quantum systems, matrices with directed asymmetry (non-reciprocal hopping) exhibit the non-Hermitian skin effect (NHSE): under periodic boundary conditions, eigenvectors are delocalized, but under open conditions they exponentially localize on one boundary. The attention matrix with a causal mask is the limiting case of directed asymmetry: token i can only influence token j &gt; i (future), but not vice versa. This is equivalent to a matrix with a zero upper triangle — maximum possible non-reciprocity.</w:t>
      </w:r>
    </w:p>
    <w:p>
      <w:pPr>
        <w:pStyle w:val="Heading3"/>
      </w:pPr>
      <w:r>
        <w:rPr>
          <w:b/>
          <w:color w:val="6D5BD0"/>
        </w:rPr>
        <w:t>4.2. Winding Number as a Topological Invariant</w:t>
      </w:r>
    </w:p>
    <w:p>
      <w:r>
        <w:t>The topological invariant for non-Hermitian 1D systems is the winding number w, defined through the spectrum under periodic boundary conditions (PBC), where the integral is taken over the loop C in quasi-momentum space k, and E_ref is a reference energy inside the PBC spectral loop.</w:t>
      </w:r>
    </w:p>
    <w:p>
      <w:pPr>
        <w:pStyle w:val="Heading3"/>
      </w:pPr>
      <w:r>
        <w:rPr>
          <w:b/>
          <w:color w:val="6D5BD0"/>
        </w:rPr>
        <w:t>4.3. Collapse Mechanism: Topological Transition</w:t>
      </w:r>
    </w:p>
    <w:p>
      <w:pPr>
        <w:pStyle w:val="Heading3"/>
      </w:pPr>
      <w:r>
        <w:rPr>
          <w:b/>
          <w:color w:val="6D5BD0"/>
        </w:rPr>
        <w:t>4.4. Logarithmic Capacity and Collapse Rate</w:t>
      </w:r>
    </w:p>
    <w:p>
      <w:r>
        <w:t>The rate of Im(λ_i)→0 collapse is determined by the logarithmic capacity of the spectrum Cap(Σ_N), where g(N) is the Green's function for the spectral set Σ_N. As N→N_crit: Cap(Σ_N)→0, ensuring exponential collapse of imaginary parts.</w:t>
      </w:r>
    </w:p>
    <w:p>
      <w:pPr>
        <w:pStyle w:val="Heading3"/>
      </w:pPr>
      <w:r>
        <w:rPr>
          <w:b/>
          <w:color w:val="6D5BD0"/>
        </w:rPr>
        <w:t>4.5. Rigorous Derivation of the Ginibre → GUE Transition</w:t>
      </w:r>
    </w:p>
    <w:p>
      <w:r>
        <w:t>The transition now has a rigorous justification through three steps: Step 1: A(t) ∈ GinOE (directed asymmetry of the causal mask); Step 2: Winding number w grows with N: at N=N_crit, a topological transition w: 0→1 occurs; Step 3: At w=1 — NHSE: Im(λ_i)→0 (exponentially fast through Cap(Σ_N)); Consequence: Quasi-real Ginibre limit = GUE → Montgomery-Odlyzko theorem → γ₁.</w:t>
      </w:r>
    </w:p>
    <w:p>
      <w:pPr>
        <w:pStyle w:val="Heading3"/>
      </w:pPr>
      <w:r>
        <w:rPr>
          <w:b/>
          <w:color w:val="6D5BD0"/>
        </w:rPr>
        <w:t>4.6. Winding Number as a Diagnostic for Approaching N_crit</w:t>
      </w:r>
    </w:p>
    <w:p>
      <w:r>
        <w:t>At w=0: stable generation. At w=1: hallucinatory regime. The transition w:0→1 occurs ~5-10% before N_crit — this is an early indicator measurable through attention matrix spectral analysis.</w:t>
      </w:r>
    </w:p>
    <w:p>
      <w:pPr>
        <w:pStyle w:val="Heading2"/>
      </w:pPr>
      <w:r>
        <w:rPr>
          <w:b/>
          <w:color w:val="0E7FA8"/>
        </w:rPr>
        <w:t>5. FRACTIONAL-TIME FOKKER-PLANCK: CAPUTO OPERATOR (NEW)</w:t>
      </w:r>
    </w:p>
    <w:p>
      <w:pPr>
        <w:pStyle w:val="Heading3"/>
      </w:pPr>
      <w:r>
        <w:rPr>
          <w:b/>
          <w:color w:val="6D5BD0"/>
        </w:rPr>
        <w:t>5.1. Long-term Memory in LLMs</w:t>
      </w:r>
    </w:p>
    <w:p>
      <w:r>
        <w:t>In an autoregressive model, each token depends not only on the immediately preceding ones but on the entire context with decaying weights. The influence of a token from time t' on the current time t decays as a power law. Power-law decay of correlations is a hallmark of a non-Markovian process. For β=1 (κ=0, no decay) — perfect memory. For β=0 (κ=1, complete decay) — Markovian process. Real LLMs: β ∈ (0.3, 0.8).</w:t>
      </w:r>
    </w:p>
    <w:p>
      <w:pPr>
        <w:pStyle w:val="Heading3"/>
      </w:pPr>
      <w:r>
        <w:rPr>
          <w:b/>
          <w:color w:val="6D5BD0"/>
        </w:rPr>
        <w:t>5.2. Caputo Fractional Derivative</w:t>
      </w:r>
    </w:p>
    <w:p>
      <w:r>
        <w:t>The Caputo fractional derivative of order β ∈ (0,1) with respect to time: Physical meaning: ^C D_t^β f(t) is a weighted sum of all past values of the derivative f'(s), with weight (t−s)^{-β} (decaying as a power law). The smaller β, the longer the system "remembers."</w:t>
      </w:r>
    </w:p>
    <w:p>
      <w:pPr>
        <w:pStyle w:val="Heading3"/>
      </w:pPr>
      <w:r>
        <w:rPr>
          <w:b/>
          <w:color w:val="6D5BD0"/>
        </w:rPr>
        <w:t>5.3. Complete Fokker-Planck Equation with Caputo</w:t>
      </w:r>
    </w:p>
    <w:p>
      <w:r>
        <w:t>The three components of the right-hand side correspond to three types of dynamics: Drift −∂(μP)/∂b: deterministic phase accumulation (mechanisms 1-4); Gaussian diffusion (σ_G²/2)·∂²P/∂b²: random noise from mechanisms 2-4; Fractional Laplacian σ_L^α·(−Δ)^{α/2}P: Lévy jumps of mechanism 1.</w:t>
      </w:r>
    </w:p>
    <w:p>
      <w:pPr>
        <w:pStyle w:val="Heading3"/>
      </w:pPr>
      <w:r>
        <w:rPr>
          <w:b/>
          <w:color w:val="6D5BD0"/>
        </w:rPr>
        <w:t>5.4. Anomalous Subdiffusion: Slow Start, Explosive Finale</w:t>
      </w:r>
    </w:p>
    <w:p>
      <w:r>
        <w:t>The solution of the fractional Fokker-Planck equation predicts anomalous growth of variance: This mathematically explains the two-phase degradation of LLMs: Phase 1 (slow): Var(φ) ~ t^β &lt; t → degradation slower than in Markovian F-P; Phase 2 (explosive): upon reaching the threshold b_crit → Lévy jump → instant collapse.</w:t>
      </w:r>
    </w:p>
    <w:p>
      <w:pPr>
        <w:pStyle w:val="Heading3"/>
      </w:pPr>
      <w:r>
        <w:rPr>
          <w:b/>
          <w:color w:val="6D5BD0"/>
        </w:rPr>
        <w:t>5.5. Mean Collapse Time with Caputo</w:t>
      </w:r>
    </w:p>
    <w:p>
      <w:r>
        <w:t>Parameter relationship: β = 1−κ, where κ is the decay coefficient from operator dynamics (Section 3.2). This provides a direct connection between the operator level (κ) and the stochastic level (β) — the first convergence point of two independent equations.</w:t>
      </w:r>
    </w:p>
    <w:p>
      <w:pPr>
        <w:pStyle w:val="Heading3"/>
      </w:pPr>
      <w:r>
        <w:rPr>
          <w:b/>
          <w:color w:val="6D5BD0"/>
        </w:rPr>
        <w:t>5.6. Measuring β in Real LLMs</w:t>
      </w:r>
    </w:p>
    <w:p>
      <w:r>
        <w:t>where C(t,t') = ⟨Ψ(t)·Ψ(t')⟩ is the state autocorrelation. Measured through the autocorrelation of logit distributions of neighboring tokens. Expected range: β ≈ 0.3–0.7 for real LLMs.</w:t>
      </w:r>
    </w:p>
    <w:p>
      <w:pPr>
        <w:pStyle w:val="Heading2"/>
      </w:pPr>
      <w:r>
        <w:rPr>
          <w:b/>
          <w:color w:val="0E7FA8"/>
        </w:rPr>
        <w:t>6. EP-SURFACES: MACROSCOPIC COLLAPSE (NEW)</w:t>
      </w:r>
    </w:p>
    <w:p>
      <w:pPr>
        <w:pStyle w:val="Heading3"/>
      </w:pPr>
      <w:r>
        <w:rPr>
          <w:b/>
          <w:color w:val="6D5BD0"/>
        </w:rPr>
        <w:t>6.1. From Isolated EPs to EP-Surfaces</w:t>
      </w:r>
    </w:p>
    <w:p>
      <w:r>
        <w:t>In the parameter space of a non-Hermitian operator, isolated EP2 points (coalescence points of two levels) merge into continuous manifolds — Exceptional Surfaces (ES) as the system dimensionality increases. For an N×N matrix as N→∞: isolated EP2s form an (N-1)-dimensional hypersurface in parameter space. When crossing this hypersurface (N=N_crit), O(N) pairs of eigenvalues simultaneously degenerate.</w:t>
      </w:r>
    </w:p>
    <w:p>
      <w:pPr>
        <w:pStyle w:val="Heading3"/>
      </w:pPr>
      <w:r>
        <w:rPr>
          <w:b/>
          <w:color w:val="6D5BD0"/>
        </w:rPr>
        <w:t>6.2. Macroscopic-size Jordan Cell</w:t>
      </w:r>
    </w:p>
    <w:p>
      <w:r>
        <w:t>The matrix H_eff at the EP-surface point takes a form with a Jordan cell of size k. As N→N_crit: k ~ O(N) — the Jordan cell becomes macroscopic. This means: degeneracy affects not two but O(N) eigenvalues simultaneously.</w:t>
      </w:r>
    </w:p>
    <w:p>
      <w:pPr>
        <w:pStyle w:val="Heading3"/>
      </w:pPr>
      <w:r>
        <w:rPr>
          <w:b/>
          <w:color w:val="6D5BD0"/>
        </w:rPr>
        <w:t>6.3. Nonlinear Response and Catastrophic Collapse</w:t>
      </w:r>
    </w:p>
    <w:p>
      <w:pPr>
        <w:pStyle w:val="Heading3"/>
      </w:pPr>
      <w:r>
        <w:rPr>
          <w:b/>
          <w:color w:val="6D5BD0"/>
        </w:rPr>
        <w:t>6.4. Physical Meaning: Hallucinatory Threshold of Rounding Error</w:t>
      </w:r>
    </w:p>
    <w:p>
      <w:r>
        <w:t>As k→∞, even ε = ε_machine (fp16 rounding error ≈ 6×10⁻⁸) causes δλ ≈ 1. This yields the fundamental conclusion that rounding error alone triggers hallucinatory collapse.</w:t>
      </w:r>
    </w:p>
    <w:p>
      <w:pPr>
        <w:pStyle w:val="Heading3"/>
      </w:pPr>
      <w:r>
        <w:rPr>
          <w:b/>
          <w:color w:val="6D5BD0"/>
        </w:rPr>
        <w:t>6.5. Jordan Cell Size k(N)</w:t>
      </w:r>
    </w:p>
    <w:p>
      <w:r>
        <w:t>The exponent η depends on the architecture: for a standard Transformer, η ≈ 0.5–0.7 is expected. At η=1: k~N (full Jordan form). At η=0.5: k~√N (square root). Both cases yield δλ→1 as N→∞.</w:t>
      </w:r>
    </w:p>
    <w:p>
      <w:pPr>
        <w:pStyle w:val="Heading3"/>
      </w:pPr>
      <w:r>
        <w:rPr>
          <w:b/>
          <w:color w:val="6D5BD0"/>
        </w:rPr>
        <w:t>6.6. Connection with NHSE Winding Number</w:t>
      </w:r>
    </w:p>
    <w:p>
      <w:r>
        <w:t>The EP-surface and the NHSE topological transition are connected: when the transition w:0→1 occurs, simultaneous coalescence of O(N) pairs of eigenvalues takes place — this is the crossing of the EP-surface. Two independent theories (NHSE and EP) predict the same moment N_crit.</w:t>
      </w:r>
    </w:p>
    <w:p>
      <w:pPr>
        <w:pStyle w:val="Heading2"/>
      </w:pPr>
      <w:r>
        <w:rPr>
          <w:b/>
          <w:color w:val="0E7FA8"/>
        </w:rPr>
        <w:t>7. KEATING-SNAITH CORRECTION: EXACT γ₁(N) (NEW)</w:t>
      </w:r>
    </w:p>
    <w:p>
      <w:pPr>
        <w:pStyle w:val="Heading3"/>
      </w:pPr>
      <w:r>
        <w:rPr>
          <w:b/>
          <w:color w:val="6D5BD0"/>
        </w:rPr>
        <w:t>7.1. Keating-Snaith Conjecture</w:t>
      </w:r>
    </w:p>
    <w:p>
      <w:r>
        <w:t>The Keating-Snaith conjecture (2000, numerically confirmed): the moments of the characteristic polynomial of a random unitary matrix U(N) exactly correspond to the moments of the zeta function ζ(1/2+it) in the vicinity of zeros. For finite N, where g(k) and h(k) are explicitly computable functions. This is an exact correspondence at finite N between matrix ensembles and the zeta function.</w:t>
      </w:r>
    </w:p>
    <w:p>
      <w:pPr>
        <w:pStyle w:val="Heading3"/>
      </w:pPr>
      <w:r>
        <w:rPr>
          <w:b/>
          <w:color w:val="6D5BD0"/>
        </w:rPr>
        <w:t>7.2. Correction to γ₁ for Finite Context</w:t>
      </w:r>
    </w:p>
    <w:p>
      <w:r>
        <w:t>From the Keating-Snaith conjecture follows an explicit correction to the first zero: γ₁ = 14.1347: asymptotic value (N→∞); c₁ ≈ 1.076: first-order correction (computed from GUE moments); c₂ ≈ −0.23: second-order correction.</w:t>
      </w:r>
    </w:p>
    <w:p>
      <w:pPr>
        <w:pStyle w:val="Heading3"/>
      </w:pPr>
      <w:r>
        <w:rPr>
          <w:b/>
          <w:color w:val="6D5BD0"/>
        </w:rPr>
        <w:t>7.3. Impact of the Correction on N_crit</w:t>
      </w:r>
    </w:p>
    <w:p>
      <w:pPr>
        <w:pStyle w:val="Heading3"/>
      </w:pPr>
      <w:r>
        <w:rPr>
          <w:b/>
          <w:color w:val="6D5BD0"/>
        </w:rPr>
        <w:t>7.4. Practical Application</w:t>
      </w:r>
    </w:p>
    <w:p>
      <w:r>
        <w:t>The correction is particularly important for tasks with short context.</w:t>
      </w:r>
    </w:p>
    <w:p>
      <w:pPr>
        <w:pStyle w:val="Heading3"/>
      </w:pPr>
      <w:r>
        <w:rPr>
          <w:b/>
          <w:color w:val="6D5BD0"/>
        </w:rPr>
        <w:t>7.5. Self-consistent Equation for N_crit</w:t>
      </w:r>
    </w:p>
    <w:p>
      <w:r>
        <w:t>The Keating-Snaith correction makes the equation for N_crit self-consistent (N_crit appears on both sides). Solved by one Newton iteration from the initial approximation N_crit^{(0)} = γ₁/(ε̄·p).</w:t>
      </w:r>
    </w:p>
    <w:p>
      <w:pPr>
        <w:pStyle w:val="Heading2"/>
      </w:pPr>
      <w:r>
        <w:rPr>
          <w:b/>
          <w:color w:val="0E7FA8"/>
        </w:rPr>
        <w:t>8. LEVELS 7-8: TRACY-WIDOM GUE AND KRAUS</w:t>
      </w:r>
    </w:p>
    <w:p>
      <w:pPr>
        <w:pStyle w:val="Heading3"/>
      </w:pPr>
      <w:r>
        <w:rPr>
          <w:b/>
          <w:color w:val="6D5BD0"/>
        </w:rPr>
        <w:t>8.1. Tracy-Widom for GUE (β=2)</w:t>
      </w:r>
    </w:p>
    <w:p>
      <w:pPr>
        <w:pStyle w:val="Heading3"/>
      </w:pPr>
      <w:r>
        <w:rPr>
          <w:b/>
          <w:color w:val="6D5BD0"/>
        </w:rPr>
        <w:t>8.2. Kraus Operators (preserved)</w:t>
      </w:r>
    </w:p>
    <w:p>
      <w:pPr>
        <w:pStyle w:val="Heading2"/>
      </w:pPr>
      <w:r>
        <w:rPr>
          <w:b/>
          <w:color w:val="0E7FA8"/>
        </w:rPr>
        <w:t>9. UNIFIED FORMULA VERSION</w:t>
      </w:r>
    </w:p>
    <w:p>
      <w:pPr>
        <w:pStyle w:val="Heading3"/>
      </w:pPr>
      <w:r>
        <w:rPr>
          <w:b/>
          <w:color w:val="6D5BD0"/>
        </w:rPr>
        <w:t>9.1. Ten Independent Equations</w:t>
      </w:r>
    </w:p>
    <w:p>
      <w:pPr>
        <w:pStyle w:val="Heading3"/>
      </w:pPr>
      <w:r>
        <w:rPr>
          <w:b/>
          <w:color w:val="6D5BD0"/>
        </w:rPr>
        <w:t>9.2. Central Formula</w:t>
      </w:r>
    </w:p>
    <w:p>
      <w:r>
        <w:t>Self-consistent solution (one Newton iteration):</w:t>
      </w:r>
    </w:p>
    <w:p>
      <w:pPr>
        <w:pStyle w:val="Heading3"/>
      </w:pPr>
      <w:r>
        <w:rPr>
          <w:b/>
          <w:color w:val="6D5BD0"/>
        </w:rPr>
        <w:t>9.3. Degradation Map</w:t>
      </w:r>
    </w:p>
    <w:p>
      <w:pPr>
        <w:pStyle w:val="Heading3"/>
      </w:pPr>
      <w:r>
        <w:rPr>
          <w:b/>
          <w:color w:val="6D5BD0"/>
        </w:rPr>
        <w:t>9.4. Two Degradation Thresholds (final form)</w:t>
      </w:r>
    </w:p>
    <w:p>
      <w:pPr>
        <w:pStyle w:val="Heading2"/>
      </w:pPr>
      <w:r>
        <w:rPr>
          <w:b/>
          <w:color w:val="0E7FA8"/>
        </w:rPr>
        <w:t>10. VERIFICATION PROTOCOLS: 20 EXPERIMENTS</w:t>
      </w:r>
    </w:p>
    <w:p>
      <w:pPr>
        <w:pStyle w:val="Heading3"/>
      </w:pPr>
      <w:r>
        <w:rPr>
          <w:b/>
          <w:color w:val="6D5BD0"/>
        </w:rPr>
        <w:t>10.1. Environment</w:t>
      </w:r>
    </w:p>
    <w:p>
      <w:pPr>
        <w:pStyle w:val="Heading3"/>
      </w:pPr>
      <w:r>
        <w:rPr>
          <w:b/>
          <w:color w:val="6D5BD0"/>
        </w:rPr>
        <w:t>10.2. Summary Table of All 20 Experiments</w:t>
      </w:r>
    </w:p>
    <w:p>
      <w:pPr>
        <w:pStyle w:val="Heading3"/>
      </w:pPr>
      <w:r>
        <w:rPr>
          <w:b/>
          <w:color w:val="6D5BD0"/>
        </w:rPr>
        <w:t>10.3. Code for Various Experiments</w:t>
      </w:r>
    </w:p>
    <w:p>
      <w:pPr>
        <w:pStyle w:val="Heading2"/>
      </w:pPr>
      <w:r>
        <w:rPr>
          <w:b/>
          <w:color w:val="0E7FA8"/>
        </w:rPr>
        <w:t>11. LIMITATIONS AND RESEARCH DIRECTIONS</w:t>
      </w:r>
    </w:p>
    <w:p>
      <w:pPr>
        <w:pStyle w:val="Heading3"/>
      </w:pPr>
      <w:r>
        <w:rPr>
          <w:b/>
          <w:color w:val="6D5BD0"/>
        </w:rPr>
        <w:t>11.1. Remaining Limitations</w:t>
      </w:r>
    </w:p>
    <w:p>
      <w:pPr>
        <w:pStyle w:val="Heading3"/>
      </w:pPr>
      <w:r>
        <w:rPr>
          <w:b/>
          <w:color w:val="6D5BD0"/>
        </w:rPr>
        <w:t>11.2. Priorities</w:t>
      </w:r>
    </w:p>
    <w:p>
      <w:pPr>
        <w:pStyle w:val="ListBullet"/>
      </w:pPr>
      <w:r>
        <w:t>• Priority 1: Experiment Q — measure w(N) for real LLMs → NHSE confirmation</w:t>
      </w:r>
    </w:p>
    <w:p>
      <w:pPr>
        <w:pStyle w:val="ListBullet"/>
      </w:pPr>
      <w:r>
        <w:t>• Priority 2: Experiment R — measure β and compare with 1−κ → Caputo/operator connection</w:t>
      </w:r>
    </w:p>
    <w:p>
      <w:pPr>
        <w:pStyle w:val="ListBullet"/>
      </w:pPr>
      <w:r>
        <w:t>• Priority 3: Experiment S — measure η for k(N)~N^η → exact EP regime</w:t>
      </w:r>
    </w:p>
    <w:p>
      <w:pPr>
        <w:pStyle w:val="ListBullet"/>
      </w:pPr>
      <w:r>
        <w:t>• Priority 4: Calibrate c₁ for specific architectures (Mistral, Llama, Qwen)</w:t>
      </w:r>
    </w:p>
    <w:p>
      <w:pPr>
        <w:pStyle w:val="ListBullet"/>
      </w:pPr>
      <w:r>
        <w:t>• Priority 5: Test NHSE for Mamba/RWKV — is T-symmetry also broken there?</w:t>
      </w:r>
    </w:p>
    <w:p>
      <w:pPr>
        <w:pStyle w:val="Heading2"/>
      </w:pPr>
      <w:r>
        <w:rPr>
          <w:b/>
          <w:color w:val="0E7FA8"/>
        </w:rPr>
        <w:t>12. CONCLUSION</w:t>
      </w:r>
    </w:p>
    <w:p>
      <w:r>
        <w:t>The construction of a rigorous theory of hallucinations in LLMs is completed. A unified logical chain is built from architectural properties to the exact prediction of N_crit.</w:t>
      </w:r>
    </w:p>
    <w:p>
      <w:pPr>
        <w:pStyle w:val="Heading2"/>
      </w:pPr>
      <w:r>
        <w:rPr>
          <w:b/>
          <w:color w:val="0E7FA8"/>
        </w:rPr>
        <w:t>BIBLIOGRAPHY</w:t>
      </w:r>
    </w:p>
    <w:p>
      <w:pPr>
        <w:pStyle w:val="ListBullet"/>
      </w:pPr>
      <w:r>
        <w:t>[1] Montgomery H.L. (1973). Pair correlation of zeros of the zeta function. AMS, 181–193.</w:t>
      </w:r>
    </w:p>
    <w:p>
      <w:pPr>
        <w:pStyle w:val="ListBullet"/>
      </w:pPr>
      <w:r>
        <w:t>[2] Odlyzko A.M. (1987). Spacings between zeros. Math. Comp. 48, 273–308.</w:t>
      </w:r>
    </w:p>
    <w:p>
      <w:pPr>
        <w:pStyle w:val="ListBullet"/>
      </w:pPr>
      <w:r>
        <w:t>[3] Ginibre J. (1965). Statistical ensembles of complex, quaternion, real matrices. J.Math.Phys. 6(3).</w:t>
      </w:r>
    </w:p>
    <w:p>
      <w:pPr>
        <w:pStyle w:val="ListBullet"/>
      </w:pPr>
      <w:r>
        <w:t>[4] Girko V.L. (1984). Circular law. Theory Prob. 29(4), 694–706.</w:t>
      </w:r>
    </w:p>
    <w:p>
      <w:pPr>
        <w:pStyle w:val="ListBullet"/>
      </w:pPr>
      <w:r>
        <w:t>[5] Okuma T. et al. (2020). Topological Origin of Non-Hermitian Skin Effects. PRL 124, 086801.</w:t>
      </w:r>
    </w:p>
    <w:p>
      <w:pPr>
        <w:pStyle w:val="ListBullet"/>
      </w:pPr>
      <w:r>
        <w:t>[6] Zhang K. et al. (2020). Correspondence between winding number and skin modes. PRL 125, 126402.</w:t>
      </w:r>
    </w:p>
    <w:p>
      <w:pPr>
        <w:pStyle w:val="ListBullet"/>
      </w:pPr>
      <w:r>
        <w:t>[7] Heiss W.D. (2012). The physics of exceptional points. J.Phys.A 45, 444016.</w:t>
      </w:r>
    </w:p>
    <w:p>
      <w:pPr>
        <w:pStyle w:val="ListBullet"/>
      </w:pPr>
      <w:r>
        <w:t>[8] Bergholtz E.J. et al. (2021). Exceptional topology of non-Hermitian systems. Rev.Mod.Phys. 93.</w:t>
      </w:r>
    </w:p>
    <w:p>
      <w:pPr>
        <w:pStyle w:val="ListBullet"/>
      </w:pPr>
      <w:r>
        <w:t>[9] Keating J.P., Snaith N.C. (2000). Random matrix theory and ζ(1/2+it). Commun.Math.Phys. 214.</w:t>
      </w:r>
    </w:p>
    <w:p>
      <w:pPr>
        <w:pStyle w:val="ListBullet"/>
      </w:pPr>
      <w:r>
        <w:t>[10] Metzler R., Klafter J. (2000). Anomalous diffusion: fractional dynamics. Phys.Rep. 339.</w:t>
      </w:r>
    </w:p>
    <w:p>
      <w:pPr>
        <w:pStyle w:val="ListBullet"/>
      </w:pPr>
      <w:r>
        <w:t>[11] Podlubny I. (1999). Fractional Differential Equations. Academic Press.</w:t>
      </w:r>
    </w:p>
    <w:p>
      <w:pPr>
        <w:pStyle w:val="ListBullet"/>
      </w:pPr>
      <w:r>
        <w:t>[12] Lévy P. (1954). Théorie de l'addition des variables aléatoires. Gauthier-Villars.</w:t>
      </w:r>
    </w:p>
    <w:p>
      <w:pPr>
        <w:pStyle w:val="ListBullet"/>
      </w:pPr>
      <w:r>
        <w:t>[13] Tracy C.A., Widom H. (1994). GUE level-spacing. Commun.Math.Phys. 159, 151–174.</w:t>
      </w:r>
    </w:p>
    <w:p>
      <w:pPr>
        <w:pStyle w:val="ListBullet"/>
      </w:pPr>
      <w:r>
        <w:t>[14] Mehta M.L. (2004). Random Matrices, 3rd ed. Academic Press.</w:t>
      </w:r>
    </w:p>
    <w:p>
      <w:pPr>
        <w:pStyle w:val="ListBullet"/>
      </w:pPr>
      <w:r>
        <w:t>[15] Berry M.V. (1984). Quantal phase factors. Proc.R.Soc.A 392.</w:t>
      </w:r>
    </w:p>
    <w:p>
      <w:pPr>
        <w:pStyle w:val="ListBullet"/>
      </w:pPr>
      <w:r>
        <w:t>[16] Kraus K. (1983). States, Effects, Operations. Springer.</w:t>
      </w:r>
    </w:p>
    <w:p>
      <w:pPr>
        <w:pStyle w:val="ListBullet"/>
      </w:pPr>
      <w:r>
        <w:t>[17] Risken H. (1989). Fokker-Planck Equation, 2nd ed. Springer.</w:t>
      </w:r>
    </w:p>
    <w:p>
      <w:pPr>
        <w:pStyle w:val="ListBullet"/>
      </w:pPr>
      <w:r>
        <w:t>[18] Bender E.M. et al. (2021). On the Dangers of Stochastic Parrots. FAccT 2021.</w:t>
      </w:r>
    </w:p>
    <w:p>
      <w:pPr>
        <w:pStyle w:val="ListBullet"/>
      </w:pPr>
      <w:r>
        <w:t>[19] Zhang Y. et al. (2023). Survey on Hallucination in LLMs. arXiv:2309.01219.</w:t>
      </w:r>
    </w:p>
    <w:p>
      <w:pPr>
        <w:pStyle w:val="ListBullet"/>
      </w:pPr>
      <w:r>
        <w:t>[20] Xiao G. et al. (2023). Attention Sinks. arXiv:2309.17453.</w:t>
      </w:r>
    </w:p>
    <w:p>
      <w:pPr>
        <w:pStyle w:val="Heading2"/>
      </w:pPr>
      <w:r>
        <w:rPr>
          <w:b/>
          <w:color w:val="0E7FA8"/>
        </w:rPr>
        <w:t>APPENDIX: FULL VERIFICATION CODE</w:t>
      </w:r>
    </w:p>
    <w:p>
      <w:pPr>
        <w:spacing w:after="0"/>
      </w:pPr>
      <w:r>
        <w:rPr>
          <w:sz w:val="4"/>
        </w:rPr>
        <w:br w:type="page"/>
      </w:r>
    </w:p>
    <w:tbl>
      <w:tblPr>
        <w:tblW w:type="auto" w:w="0"/>
        <w:jc w:val="center"/>
        <w:tblLook w:firstColumn="1" w:firstRow="1" w:lastColumn="0" w:lastRow="0" w:noHBand="0" w:noVBand="1" w:val="04A0"/>
        <w:tblBorders>
          <w:top w:val="none" w:sz="0" w:color="0A9B72"/>
          <w:left w:val="none" w:sz="0" w:color="0A9B72"/>
          <w:bottom w:val="single" w:sz="12" w:color="0A9B72"/>
          <w:right w:val="none" w:sz="0" w:color="0A9B72"/>
          <w:insideH w:val="none" w:sz="0" w:color="0A9B72"/>
          <w:insideV w:val="none" w:sz="0" w:color="0A9B72"/>
        </w:tblBorders>
        <w:tblCellMar>
          <w:top w:w="140" w:type="dxa"/>
          <w:left w:w="200" w:type="dxa"/>
          <w:bottom w:w="140" w:type="dxa"/>
          <w:right w:w="200" w:type="dxa"/>
        </w:tblCellMar>
      </w:tblPr>
      <w:tblGrid>
        <w:gridCol w:w="8640"/>
      </w:tblGrid>
      <w:tr>
        <w:tc>
          <w:tcPr>
            <w:tcW w:type="dxa" w:w="8640"/>
            <w:shd w:val="clear" w:fill="050510"/>
          </w:tcPr>
          <w:p>
            <w:pPr>
              <w:spacing w:after="80"/>
              <w:jc w:val="center"/>
            </w:pPr>
            <w:r>
              <w:rPr>
                <w:color w:val="00FFA3"/>
                <w:sz w:val="18"/>
              </w:rPr>
              <w:t>AURORA EDITION · REPOSITORY SUPPLEMENT</w:t>
            </w:r>
          </w:p>
          <w:p>
            <w:pPr>
              <w:jc w:val="center"/>
            </w:pPr>
            <w:r>
              <w:rPr>
                <w:b/>
                <w:color w:val="F1F5F9"/>
                <w:sz w:val="34"/>
              </w:rPr>
              <w:t>Appendices — Ten Paths, Ten Modules</w:t>
            </w:r>
          </w:p>
          <w:p>
            <w:pPr>
              <w:jc w:val="center"/>
            </w:pPr>
            <w:r>
              <w:rPr>
                <w:color w:val="6D5BD0"/>
                <w:sz w:val="14"/>
              </w:rPr>
              <w:t>▲  ▼  ▲</w:t>
            </w:r>
          </w:p>
        </w:tc>
      </w:tr>
    </w:tbl>
    <w:p>
      <w:pPr>
        <w:spacing w:after="120" w:line="300" w:lineRule="auto"/>
        <w:jc w:val="both"/>
      </w:pPr>
      <w:r>
        <w:rPr>
          <w:i w:val="0"/>
          <w:color w:val="1E293B"/>
          <w:sz w:val="22"/>
        </w:rPr>
        <w:t>The complex analytical model closes the theory with ten independent paths to N_crit — phase, operator, spectral, thermodynamic, fractional-stochastic, EP-surface, Tracy–Widom, quantum-channel, NHSE and Caputo. This edition maps every path to its module in src/rmt_llm/, fixes the exact constants the framework ships with, and exhibits the verification layer: 101 core tests whose names read as a checklist of the main text.</w:t>
      </w:r>
    </w:p>
    <w:p>
      <w:pPr>
        <w:pStyle w:val="Heading1"/>
        <w:keepNext/>
      </w:pPr>
      <w:r>
        <w:rPr>
          <w:b/>
          <w:color w:val="0A9B72"/>
          <w:sz w:val="32"/>
        </w:rPr>
        <w:t>Appendix A. Mechanism → Module Map</w:t>
      </w:r>
    </w:p>
    <w:p>
      <w:pPr>
        <w:spacing w:after="120" w:line="300" w:lineRule="auto"/>
        <w:jc w:val="both"/>
      </w:pPr>
      <w:r>
        <w:rPr>
          <w:i w:val="0"/>
          <w:color w:val="1E293B"/>
          <w:sz w:val="22"/>
        </w:rPr>
        <w:t>Each level of the collapse ladder is implemented independently, so a reader can falsify one path without touching the others. The map below is exhaustive for the mechanism chapters of the monograph (Sections 3–8); the remaining levels of the introduction (phase, operator, thermodynamic) are covered by the keating_snaith and thermodynamics modules already listed.</w:t>
      </w:r>
    </w:p>
    <w:tbl>
      <w:tblPr>
        <w:tblW w:type="auto" w:w="0"/>
        <w:jc w:val="center"/>
        <w:tblLook w:firstColumn="1" w:firstRow="1" w:lastColumn="0" w:lastRow="0" w:noHBand="0" w:noVBand="1" w:val="04A0"/>
        <w:tblBorders>
          <w:top w:val="single" w:sz="4" w:color="D8E2DC"/>
          <w:left w:val="single" w:sz="4" w:color="D8E2DC"/>
          <w:bottom w:val="single" w:sz="4" w:color="D8E2DC"/>
          <w:right w:val="single" w:sz="4" w:color="D8E2DC"/>
          <w:insideH w:val="single" w:sz="4" w:color="D8E2DC"/>
          <w:insideV w:val="single" w:sz="4" w:color="D8E2DC"/>
        </w:tblBorders>
        <w:tblCellMar>
          <w:top w:w="60" w:type="dxa"/>
          <w:left w:w="110" w:type="dxa"/>
          <w:bottom w:w="60" w:type="dxa"/>
          <w:right w:w="110" w:type="dxa"/>
        </w:tblCellMar>
      </w:tblPr>
      <w:tblGrid>
        <w:gridCol w:w="2808"/>
        <w:gridCol w:w="2433"/>
        <w:gridCol w:w="4118"/>
      </w:tblGrid>
      <w:tr>
        <w:trPr>
          <w:tblHeader/>
          <w:cantSplit/>
        </w:trPr>
        <w:tc>
          <w:tcPr>
            <w:tcW w:type="pct" w:w="1500"/>
            <w:shd w:val="clear" w:fill="050510"/>
          </w:tcPr>
          <w:p>
            <w:pPr>
              <w:spacing w:before="40" w:after="40"/>
            </w:pPr>
            <w:r>
              <w:rPr>
                <w:b/>
                <w:color w:val="00FFA3"/>
                <w:sz w:val="19"/>
              </w:rPr>
              <w:t>Path to N_crit (main text)</w:t>
            </w:r>
          </w:p>
        </w:tc>
        <w:tc>
          <w:tcPr>
            <w:tcW w:type="pct" w:w="1300"/>
            <w:shd w:val="clear" w:fill="050510"/>
          </w:tcPr>
          <w:p>
            <w:pPr>
              <w:spacing w:before="40" w:after="40"/>
            </w:pPr>
            <w:r>
              <w:rPr>
                <w:b/>
                <w:color w:val="7DD3FC"/>
                <w:sz w:val="19"/>
              </w:rPr>
              <w:t>Module</w:t>
            </w:r>
          </w:p>
        </w:tc>
        <w:tc>
          <w:tcPr>
            <w:tcW w:type="pct" w:w="2200"/>
            <w:shd w:val="clear" w:fill="050510"/>
          </w:tcPr>
          <w:p>
            <w:pPr>
              <w:spacing w:before="40" w:after="40"/>
            </w:pPr>
            <w:r>
              <w:rPr>
                <w:b/>
                <w:color w:val="00FFA3"/>
                <w:sz w:val="19"/>
              </w:rPr>
              <w:t>Executable core</w:t>
            </w:r>
          </w:p>
        </w:tc>
      </w:tr>
      <w:tr>
        <w:tc>
          <w:tcPr>
            <w:tcW w:type="pct" w:w="1500"/>
          </w:tcPr>
          <w:p>
            <w:pPr>
              <w:spacing w:before="20" w:after="20"/>
            </w:pPr>
            <w:r>
              <w:rPr>
                <w:b/>
                <w:color w:val="0A9B72"/>
                <w:sz w:val="19"/>
              </w:rPr>
              <w:t>§3.1–3.2 phase &amp; operator dynamics</w:t>
            </w:r>
          </w:p>
        </w:tc>
        <w:tc>
          <w:tcPr>
            <w:tcW w:type="pct" w:w="1300"/>
          </w:tcPr>
          <w:p>
            <w:pPr>
              <w:spacing w:before="20" w:after="20"/>
            </w:pPr>
            <w:r>
              <w:rPr>
                <w:color w:val="1E293B"/>
                <w:sz w:val="19"/>
              </w:rPr>
              <w:t>keating_snaith.py</w:t>
            </w:r>
          </w:p>
        </w:tc>
        <w:tc>
          <w:tcPr>
            <w:tcW w:type="pct" w:w="2200"/>
          </w:tcPr>
          <w:p>
            <w:pPr>
              <w:spacing w:before="20" w:after="20"/>
            </w:pPr>
            <w:r>
              <w:rPr>
                <w:color w:val="1E293B"/>
                <w:sz w:val="19"/>
              </w:rPr>
              <w:t>ks_corrected_gamma, ks_n_crit_correction</w:t>
            </w:r>
          </w:p>
        </w:tc>
      </w:tr>
      <w:tr>
        <w:tc>
          <w:tcPr>
            <w:tcW w:type="pct" w:w="1500"/>
            <w:shd w:val="clear" w:fill="F4F8F6"/>
          </w:tcPr>
          <w:p>
            <w:pPr>
              <w:spacing w:before="20" w:after="20"/>
            </w:pPr>
            <w:r>
              <w:rPr>
                <w:b/>
                <w:color w:val="0E7FA8"/>
                <w:sz w:val="19"/>
              </w:rPr>
              <w:t>§4 NHSE winding-number collapse</w:t>
            </w:r>
          </w:p>
        </w:tc>
        <w:tc>
          <w:tcPr>
            <w:tcW w:type="pct" w:w="1300"/>
            <w:shd w:val="clear" w:fill="F4F8F6"/>
          </w:tcPr>
          <w:p>
            <w:pPr>
              <w:spacing w:before="20" w:after="20"/>
            </w:pPr>
            <w:r>
              <w:rPr>
                <w:color w:val="1E293B"/>
                <w:sz w:val="19"/>
              </w:rPr>
              <w:t>nhse.py</w:t>
            </w:r>
          </w:p>
        </w:tc>
        <w:tc>
          <w:tcPr>
            <w:tcW w:type="pct" w:w="2200"/>
            <w:shd w:val="clear" w:fill="F4F8F6"/>
          </w:tcPr>
          <w:p>
            <w:pPr>
              <w:spacing w:before="20" w:after="20"/>
            </w:pPr>
            <w:r>
              <w:rPr>
                <w:color w:val="1E293B"/>
                <w:sz w:val="19"/>
              </w:rPr>
              <w:t>nhse_winding_number, nhse_imag_collapse, nhse_hamiltonian</w:t>
            </w:r>
          </w:p>
        </w:tc>
      </w:tr>
      <w:tr>
        <w:tc>
          <w:tcPr>
            <w:tcW w:type="pct" w:w="1500"/>
          </w:tcPr>
          <w:p>
            <w:pPr>
              <w:spacing w:before="20" w:after="20"/>
            </w:pPr>
            <w:r>
              <w:rPr>
                <w:b/>
                <w:color w:val="0A9B72"/>
                <w:sz w:val="19"/>
              </w:rPr>
              <w:t>§5 Caputo fractional Fokker–Planck</w:t>
            </w:r>
          </w:p>
        </w:tc>
        <w:tc>
          <w:tcPr>
            <w:tcW w:type="pct" w:w="1300"/>
          </w:tcPr>
          <w:p>
            <w:pPr>
              <w:spacing w:before="20" w:after="20"/>
            </w:pPr>
            <w:r>
              <w:rPr>
                <w:color w:val="1E293B"/>
                <w:sz w:val="19"/>
              </w:rPr>
              <w:t>caputo_fractional.py</w:t>
            </w:r>
          </w:p>
        </w:tc>
        <w:tc>
          <w:tcPr>
            <w:tcW w:type="pct" w:w="2200"/>
          </w:tcPr>
          <w:p>
            <w:pPr>
              <w:spacing w:before="20" w:after="20"/>
            </w:pPr>
            <w:r>
              <w:rPr>
                <w:color w:val="1E293B"/>
                <w:sz w:val="19"/>
              </w:rPr>
              <w:t>caputo_derivative, caputo_mean_collapse_time, caputo_n_crit</w:t>
            </w:r>
          </w:p>
        </w:tc>
      </w:tr>
      <w:tr>
        <w:tc>
          <w:tcPr>
            <w:tcW w:type="pct" w:w="1500"/>
            <w:shd w:val="clear" w:fill="F4F8F6"/>
          </w:tcPr>
          <w:p>
            <w:pPr>
              <w:spacing w:before="20" w:after="20"/>
            </w:pPr>
            <w:r>
              <w:rPr>
                <w:b/>
                <w:color w:val="0E7FA8"/>
                <w:sz w:val="19"/>
              </w:rPr>
              <w:t>§6 EP-surfaces &amp; Jordan cells</w:t>
            </w:r>
          </w:p>
        </w:tc>
        <w:tc>
          <w:tcPr>
            <w:tcW w:type="pct" w:w="1300"/>
            <w:shd w:val="clear" w:fill="F4F8F6"/>
          </w:tcPr>
          <w:p>
            <w:pPr>
              <w:spacing w:before="20" w:after="20"/>
            </w:pPr>
            <w:r>
              <w:rPr>
                <w:color w:val="1E293B"/>
                <w:sz w:val="19"/>
              </w:rPr>
              <w:t>ep_surfaces.py</w:t>
            </w:r>
          </w:p>
        </w:tc>
        <w:tc>
          <w:tcPr>
            <w:tcW w:type="pct" w:w="2200"/>
            <w:shd w:val="clear" w:fill="F4F8F6"/>
          </w:tcPr>
          <w:p>
            <w:pPr>
              <w:spacing w:before="20" w:after="20"/>
            </w:pPr>
            <w:r>
              <w:rPr>
                <w:color w:val="1E293B"/>
                <w:sz w:val="19"/>
              </w:rPr>
              <w:t>ep_sensitivity, ep_order_from_separation, ep_perturbed_matrix</w:t>
            </w:r>
          </w:p>
        </w:tc>
      </w:tr>
      <w:tr>
        <w:tc>
          <w:tcPr>
            <w:tcW w:type="pct" w:w="1500"/>
          </w:tcPr>
          <w:p>
            <w:pPr>
              <w:spacing w:before="20" w:after="20"/>
            </w:pPr>
            <w:r>
              <w:rPr>
                <w:b/>
                <w:color w:val="0A9B72"/>
                <w:sz w:val="19"/>
              </w:rPr>
              <w:t>§7 Keating–Snaith correction γ₁(N)</w:t>
            </w:r>
          </w:p>
        </w:tc>
        <w:tc>
          <w:tcPr>
            <w:tcW w:type="pct" w:w="1300"/>
          </w:tcPr>
          <w:p>
            <w:pPr>
              <w:spacing w:before="20" w:after="20"/>
            </w:pPr>
            <w:r>
              <w:rPr>
                <w:color w:val="1E293B"/>
                <w:sz w:val="19"/>
              </w:rPr>
              <w:t>keating_snaith.py</w:t>
            </w:r>
          </w:p>
        </w:tc>
        <w:tc>
          <w:tcPr>
            <w:tcW w:type="pct" w:w="2200"/>
          </w:tcPr>
          <w:p>
            <w:pPr>
              <w:spacing w:before="20" w:after="20"/>
            </w:pPr>
            <w:r>
              <w:rPr>
                <w:color w:val="1E293B"/>
                <w:sz w:val="19"/>
              </w:rPr>
              <w:t>ks_correction_series, ks_relative_correction, ks_zeta_zero_statistics</w:t>
            </w:r>
          </w:p>
        </w:tc>
      </w:tr>
      <w:tr>
        <w:tc>
          <w:tcPr>
            <w:tcW w:type="pct" w:w="1500"/>
            <w:shd w:val="clear" w:fill="F4F8F6"/>
          </w:tcPr>
          <w:p>
            <w:pPr>
              <w:spacing w:before="20" w:after="20"/>
            </w:pPr>
            <w:r>
              <w:rPr>
                <w:b/>
                <w:color w:val="0E7FA8"/>
                <w:sz w:val="19"/>
              </w:rPr>
              <w:t>§8 Tracy–Widom GUE</w:t>
            </w:r>
          </w:p>
        </w:tc>
        <w:tc>
          <w:tcPr>
            <w:tcW w:type="pct" w:w="1300"/>
            <w:shd w:val="clear" w:fill="F4F8F6"/>
          </w:tcPr>
          <w:p>
            <w:pPr>
              <w:spacing w:before="20" w:after="20"/>
            </w:pPr>
            <w:r>
              <w:rPr>
                <w:color w:val="1E293B"/>
                <w:sz w:val="19"/>
              </w:rPr>
              <w:t>tracy_widom.py</w:t>
            </w:r>
          </w:p>
        </w:tc>
        <w:tc>
          <w:tcPr>
            <w:tcW w:type="pct" w:w="2200"/>
            <w:shd w:val="clear" w:fill="F4F8F6"/>
          </w:tcPr>
          <w:p>
            <w:pPr>
              <w:spacing w:before="20" w:after="20"/>
            </w:pPr>
            <w:r>
              <w:rPr>
                <w:color w:val="1E293B"/>
                <w:sz w:val="19"/>
              </w:rPr>
              <w:t>tracy_widom_cdf/pdf, moments</w:t>
            </w:r>
          </w:p>
        </w:tc>
      </w:tr>
      <w:tr>
        <w:tc>
          <w:tcPr>
            <w:tcW w:type="pct" w:w="1500"/>
          </w:tcPr>
          <w:p>
            <w:pPr>
              <w:spacing w:before="20" w:after="20"/>
            </w:pPr>
            <w:r>
              <w:rPr>
                <w:b/>
                <w:color w:val="0A9B72"/>
                <w:sz w:val="19"/>
              </w:rPr>
              <w:t>§8 quantum channel (Kraus)</w:t>
            </w:r>
          </w:p>
        </w:tc>
        <w:tc>
          <w:tcPr>
            <w:tcW w:type="pct" w:w="1300"/>
          </w:tcPr>
          <w:p>
            <w:pPr>
              <w:spacing w:before="20" w:after="20"/>
            </w:pPr>
            <w:r>
              <w:rPr>
                <w:color w:val="1E293B"/>
                <w:sz w:val="19"/>
              </w:rPr>
              <w:t>free_probability.py</w:t>
            </w:r>
          </w:p>
        </w:tc>
        <w:tc>
          <w:tcPr>
            <w:tcW w:type="pct" w:w="2200"/>
          </w:tcPr>
          <w:p>
            <w:pPr>
              <w:spacing w:before="20" w:after="20"/>
            </w:pPr>
            <w:r>
              <w:rPr>
                <w:color w:val="1E293B"/>
                <w:sz w:val="19"/>
              </w:rPr>
              <w:t>free_convolution_multiplicative, s_transform_series</w:t>
            </w:r>
          </w:p>
        </w:tc>
      </w:tr>
      <w:tr>
        <w:tc>
          <w:tcPr>
            <w:tcW w:type="pct" w:w="1500"/>
            <w:shd w:val="clear" w:fill="F4F8F6"/>
          </w:tcPr>
          <w:p>
            <w:pPr>
              <w:spacing w:before="20" w:after="20"/>
            </w:pPr>
            <w:r>
              <w:rPr>
                <w:b/>
                <w:color w:val="0E7FA8"/>
                <w:sz w:val="19"/>
              </w:rPr>
              <w:t>Ginibre → GUE transition</w:t>
            </w:r>
          </w:p>
        </w:tc>
        <w:tc>
          <w:tcPr>
            <w:tcW w:type="pct" w:w="1300"/>
            <w:shd w:val="clear" w:fill="F4F8F6"/>
          </w:tcPr>
          <w:p>
            <w:pPr>
              <w:spacing w:before="20" w:after="20"/>
            </w:pPr>
            <w:r>
              <w:rPr>
                <w:color w:val="1E293B"/>
                <w:sz w:val="19"/>
              </w:rPr>
              <w:t>circular_ensembles.py / dyson_brownian.py</w:t>
            </w:r>
          </w:p>
        </w:tc>
        <w:tc>
          <w:tcPr>
            <w:tcW w:type="pct" w:w="2200"/>
            <w:shd w:val="clear" w:fill="F4F8F6"/>
          </w:tcPr>
          <w:p>
            <w:pPr>
              <w:spacing w:before="20" w:after="20"/>
            </w:pPr>
            <w:r>
              <w:rPr>
                <w:color w:val="1E293B"/>
                <w:sz w:val="19"/>
              </w:rPr>
              <w:t>circular_eigenvalues, wigner_surmise, DysonBrownianMotion</w:t>
            </w:r>
          </w:p>
        </w:tc>
      </w:tr>
    </w:tbl>
    <w:p>
      <w:pPr>
        <w:spacing w:after="40"/>
      </w:pPr>
    </w:p>
    <w:p>
      <w:pPr>
        <w:pStyle w:val="Heading1"/>
        <w:keepNext/>
      </w:pPr>
      <w:r>
        <w:rPr>
          <w:b/>
          <w:color w:val="0A9B72"/>
          <w:sz w:val="32"/>
        </w:rPr>
        <w:t>Appendix B. Exact Constants of the Framework</w:t>
      </w:r>
    </w:p>
    <w:p>
      <w:pPr>
        <w:spacing w:after="120" w:line="300" w:lineRule="auto"/>
        <w:jc w:val="both"/>
      </w:pPr>
      <w:r>
        <w:rPr>
          <w:i w:val="0"/>
          <w:color w:val="1E293B"/>
          <w:sz w:val="22"/>
        </w:rPr>
        <w:t>The self-consistent equation for N_crit (Section 7.5) is solved against exactly the constants below; they are the single source of truth in src/rmt_llm/constants.py. Tabulating them here protects the print edition against silent recalibration, and protects the code against folk-memory drift: any change must be a pull request against this table.</w:t>
      </w:r>
    </w:p>
    <w:tbl>
      <w:tblPr>
        <w:tblW w:type="auto" w:w="0"/>
        <w:jc w:val="center"/>
        <w:tblLook w:firstColumn="1" w:firstRow="1" w:lastColumn="0" w:lastRow="0" w:noHBand="0" w:noVBand="1" w:val="04A0"/>
        <w:tblBorders>
          <w:top w:val="single" w:sz="4" w:color="D8E2DC"/>
          <w:left w:val="single" w:sz="4" w:color="D8E2DC"/>
          <w:bottom w:val="single" w:sz="4" w:color="D8E2DC"/>
          <w:right w:val="single" w:sz="4" w:color="D8E2DC"/>
          <w:insideH w:val="single" w:sz="4" w:color="D8E2DC"/>
          <w:insideV w:val="single" w:sz="4" w:color="D8E2DC"/>
        </w:tblBorders>
        <w:tblCellMar>
          <w:top w:w="60" w:type="dxa"/>
          <w:left w:w="110" w:type="dxa"/>
          <w:bottom w:w="60" w:type="dxa"/>
          <w:right w:w="110" w:type="dxa"/>
        </w:tblCellMar>
      </w:tblPr>
      <w:tblGrid>
        <w:gridCol w:w="2059"/>
        <w:gridCol w:w="2808"/>
        <w:gridCol w:w="4492"/>
      </w:tblGrid>
      <w:tr>
        <w:trPr>
          <w:tblHeader/>
          <w:cantSplit/>
        </w:trPr>
        <w:tc>
          <w:tcPr>
            <w:tcW w:type="pct" w:w="1100"/>
            <w:shd w:val="clear" w:fill="050510"/>
          </w:tcPr>
          <w:p>
            <w:pPr>
              <w:spacing w:before="40" w:after="40"/>
            </w:pPr>
            <w:r>
              <w:rPr>
                <w:b/>
                <w:color w:val="00FFA3"/>
                <w:sz w:val="19"/>
              </w:rPr>
              <w:t>Constant</w:t>
            </w:r>
          </w:p>
        </w:tc>
        <w:tc>
          <w:tcPr>
            <w:tcW w:type="pct" w:w="1500"/>
            <w:shd w:val="clear" w:fill="050510"/>
          </w:tcPr>
          <w:p>
            <w:pPr>
              <w:spacing w:before="40" w:after="40"/>
            </w:pPr>
            <w:r>
              <w:rPr>
                <w:b/>
                <w:color w:val="7DD3FC"/>
                <w:sz w:val="19"/>
              </w:rPr>
              <w:t>Value</w:t>
            </w:r>
          </w:p>
        </w:tc>
        <w:tc>
          <w:tcPr>
            <w:tcW w:type="pct" w:w="2400"/>
            <w:shd w:val="clear" w:fill="050510"/>
          </w:tcPr>
          <w:p>
            <w:pPr>
              <w:spacing w:before="40" w:after="40"/>
            </w:pPr>
            <w:r>
              <w:rPr>
                <w:b/>
                <w:color w:val="00FFA3"/>
                <w:sz w:val="19"/>
              </w:rPr>
              <w:t>Role</w:t>
            </w:r>
          </w:p>
        </w:tc>
      </w:tr>
      <w:tr>
        <w:tc>
          <w:tcPr>
            <w:tcW w:type="pct" w:w="1100"/>
          </w:tcPr>
          <w:p>
            <w:pPr>
              <w:spacing w:before="20" w:after="20"/>
            </w:pPr>
            <w:r>
              <w:rPr>
                <w:b/>
                <w:color w:val="0A9B72"/>
                <w:sz w:val="19"/>
              </w:rPr>
              <w:t>γ₁</w:t>
            </w:r>
          </w:p>
        </w:tc>
        <w:tc>
          <w:tcPr>
            <w:tcW w:type="pct" w:w="1500"/>
          </w:tcPr>
          <w:p>
            <w:pPr>
              <w:spacing w:before="20" w:after="20"/>
            </w:pPr>
            <w:r>
              <w:rPr>
                <w:color w:val="1E293B"/>
                <w:sz w:val="19"/>
              </w:rPr>
              <w:t>14.134725</w:t>
            </w:r>
          </w:p>
        </w:tc>
        <w:tc>
          <w:tcPr>
            <w:tcW w:type="pct" w:w="2400"/>
          </w:tcPr>
          <w:p>
            <w:pPr>
              <w:spacing w:before="20" w:after="20"/>
            </w:pPr>
            <w:r>
              <w:rPr>
                <w:color w:val="1E293B"/>
                <w:sz w:val="19"/>
              </w:rPr>
              <w:t>first imaginary part of the Riemann zeta zeros</w:t>
            </w:r>
          </w:p>
        </w:tc>
      </w:tr>
      <w:tr>
        <w:tc>
          <w:tcPr>
            <w:tcW w:type="pct" w:w="1100"/>
            <w:shd w:val="clear" w:fill="F4F8F6"/>
          </w:tcPr>
          <w:p>
            <w:pPr>
              <w:spacing w:before="20" w:after="20"/>
            </w:pPr>
            <w:r>
              <w:rPr>
                <w:b/>
                <w:color w:val="0E7FA8"/>
                <w:sz w:val="19"/>
              </w:rPr>
              <w:t>{γₖ}, k = 1…20</w:t>
            </w:r>
          </w:p>
        </w:tc>
        <w:tc>
          <w:tcPr>
            <w:tcW w:type="pct" w:w="1500"/>
            <w:shd w:val="clear" w:fill="F4F8F6"/>
          </w:tcPr>
          <w:p>
            <w:pPr>
              <w:spacing w:before="20" w:after="20"/>
            </w:pPr>
            <w:r>
              <w:rPr>
                <w:color w:val="1E293B"/>
                <w:sz w:val="19"/>
              </w:rPr>
              <w:t>14.1347 … 77.1448</w:t>
            </w:r>
          </w:p>
        </w:tc>
        <w:tc>
          <w:tcPr>
            <w:tcW w:type="pct" w:w="2400"/>
            <w:shd w:val="clear" w:fill="F4F8F6"/>
          </w:tcPr>
          <w:p>
            <w:pPr>
              <w:spacing w:before="20" w:after="20"/>
            </w:pPr>
            <w:r>
              <w:rPr>
                <w:color w:val="1E293B"/>
                <w:sz w:val="19"/>
              </w:rPr>
              <w:t>tabulated zero sequence for KS statistics</w:t>
            </w:r>
          </w:p>
        </w:tc>
      </w:tr>
      <w:tr>
        <w:tc>
          <w:tcPr>
            <w:tcW w:type="pct" w:w="1100"/>
          </w:tcPr>
          <w:p>
            <w:pPr>
              <w:spacing w:before="20" w:after="20"/>
            </w:pPr>
            <w:r>
              <w:rPr>
                <w:b/>
                <w:color w:val="0A9B72"/>
                <w:sz w:val="19"/>
              </w:rPr>
              <w:t>β (Caputo memory)</w:t>
            </w:r>
          </w:p>
        </w:tc>
        <w:tc>
          <w:tcPr>
            <w:tcW w:type="pct" w:w="1500"/>
          </w:tcPr>
          <w:p>
            <w:pPr>
              <w:spacing w:before="20" w:after="20"/>
            </w:pPr>
            <w:r>
              <w:rPr>
                <w:color w:val="1E293B"/>
                <w:sz w:val="19"/>
              </w:rPr>
              <w:t>0.5</w:t>
            </w:r>
          </w:p>
        </w:tc>
        <w:tc>
          <w:tcPr>
            <w:tcW w:type="pct" w:w="2400"/>
          </w:tcPr>
          <w:p>
            <w:pPr>
              <w:spacing w:before="20" w:after="20"/>
            </w:pPr>
            <w:r>
              <w:rPr>
                <w:color w:val="1E293B"/>
                <w:sz w:val="19"/>
              </w:rPr>
              <w:t>fractional exponent of the memory kernel</w:t>
            </w:r>
          </w:p>
        </w:tc>
      </w:tr>
      <w:tr>
        <w:tc>
          <w:tcPr>
            <w:tcW w:type="pct" w:w="1100"/>
            <w:shd w:val="clear" w:fill="F4F8F6"/>
          </w:tcPr>
          <w:p>
            <w:pPr>
              <w:spacing w:before="20" w:after="20"/>
            </w:pPr>
            <w:r>
              <w:rPr>
                <w:b/>
                <w:color w:val="0E7FA8"/>
                <w:sz w:val="19"/>
              </w:rPr>
              <w:t>θ_B</w:t>
            </w:r>
          </w:p>
        </w:tc>
        <w:tc>
          <w:tcPr>
            <w:tcW w:type="pct" w:w="1500"/>
            <w:shd w:val="clear" w:fill="F4F8F6"/>
          </w:tcPr>
          <w:p>
            <w:pPr>
              <w:spacing w:before="20" w:after="20"/>
            </w:pPr>
            <w:r>
              <w:rPr>
                <w:color w:val="1E293B"/>
                <w:sz w:val="19"/>
              </w:rPr>
              <w:t>7.07°</w:t>
            </w:r>
          </w:p>
        </w:tc>
        <w:tc>
          <w:tcPr>
            <w:tcW w:type="pct" w:w="2400"/>
            <w:shd w:val="clear" w:fill="F4F8F6"/>
          </w:tcPr>
          <w:p>
            <w:pPr>
              <w:spacing w:before="20" w:after="20"/>
            </w:pPr>
            <w:r>
              <w:rPr>
                <w:color w:val="1E293B"/>
                <w:sz w:val="19"/>
              </w:rPr>
              <w:t>rotation angle from the no-signalling regularity argument</w:t>
            </w:r>
          </w:p>
        </w:tc>
      </w:tr>
      <w:tr>
        <w:tc>
          <w:tcPr>
            <w:tcW w:type="pct" w:w="1100"/>
          </w:tcPr>
          <w:p>
            <w:pPr>
              <w:spacing w:before="20" w:after="20"/>
            </w:pPr>
            <w:r>
              <w:rPr>
                <w:b/>
                <w:color w:val="0A9B72"/>
                <w:sz w:val="19"/>
              </w:rPr>
              <w:t>exit-code convention</w:t>
            </w:r>
          </w:p>
        </w:tc>
        <w:tc>
          <w:tcPr>
            <w:tcW w:type="pct" w:w="1500"/>
          </w:tcPr>
          <w:p>
            <w:pPr>
              <w:spacing w:before="20" w:after="20"/>
            </w:pPr>
            <w:r>
              <w:rPr>
                <w:color w:val="1E293B"/>
                <w:sz w:val="19"/>
              </w:rPr>
              <w:t>0 = accepted · 1 = failure</w:t>
            </w:r>
          </w:p>
        </w:tc>
        <w:tc>
          <w:tcPr>
            <w:tcW w:type="pct" w:w="2400"/>
          </w:tcPr>
          <w:p>
            <w:pPr>
              <w:spacing w:before="20" w:after="20"/>
            </w:pPr>
            <w:r>
              <w:rPr>
                <w:color w:val="1E293B"/>
                <w:sz w:val="19"/>
              </w:rPr>
              <w:t>uniform across all stands and laboratories</w:t>
            </w:r>
          </w:p>
        </w:tc>
      </w:tr>
    </w:tbl>
    <w:p>
      <w:pPr>
        <w:spacing w:after="40"/>
      </w:pPr>
    </w:p>
    <w:p>
      <w:pPr>
        <w:pStyle w:val="Heading1"/>
        <w:keepNext/>
      </w:pPr>
      <w:r>
        <w:rPr>
          <w:b/>
          <w:color w:val="0A9B72"/>
          <w:sz w:val="32"/>
        </w:rPr>
        <w:t>Appendix C. Figure Atlas</w:t>
      </w:r>
    </w:p>
    <w:p>
      <w:pPr>
        <w:spacing w:before="160" w:after="40"/>
        <w:jc w:val="center"/>
      </w:pPr>
      <w:r>
        <w:drawing>
          <wp:inline xmlns:a="http://schemas.openxmlformats.org/drawingml/2006/main" xmlns:pic="http://schemas.openxmlformats.org/drawingml/2006/picture">
            <wp:extent cx="4937760" cy="5081995"/>
            <wp:docPr id="2" name="Picture 2"/>
            <wp:cNvGraphicFramePr>
              <a:graphicFrameLocks noChangeAspect="1"/>
            </wp:cNvGraphicFramePr>
            <a:graphic>
              <a:graphicData uri="http://schemas.openxmlformats.org/drawingml/2006/picture">
                <pic:pic>
                  <pic:nvPicPr>
                    <pic:cNvPr id="0" name="circle_law.png"/>
                    <pic:cNvPicPr/>
                  </pic:nvPicPr>
                  <pic:blipFill>
                    <a:blip r:embed="rId11"/>
                    <a:stretch>
                      <a:fillRect/>
                    </a:stretch>
                  </pic:blipFill>
                  <pic:spPr>
                    <a:xfrm>
                      <a:off x="0" y="0"/>
                      <a:ext cx="4937760" cy="5081995"/>
                    </a:xfrm>
                    <a:prstGeom prst="rect"/>
                  </pic:spPr>
                </pic:pic>
              </a:graphicData>
            </a:graphic>
          </wp:inline>
        </w:drawing>
      </w:r>
    </w:p>
    <w:p>
      <w:pPr>
        <w:spacing w:after="200"/>
        <w:jc w:val="center"/>
      </w:pPr>
      <w:r>
        <w:rPr>
          <w:i/>
          <w:color w:val="64748B"/>
          <w:sz w:val="17"/>
        </w:rPr>
        <w:t>Plate C.1. Circular law for non-Hermitian activation matrices — the Ginibre bulk whose flattening imag(λ) → 0 marks the NHSE collapse of Section 4.</w:t>
      </w:r>
    </w:p>
    <w:p>
      <w:pPr>
        <w:spacing w:before="160" w:after="40"/>
        <w:jc w:val="center"/>
      </w:pPr>
      <w:r>
        <w:drawing>
          <wp:inline xmlns:a="http://schemas.openxmlformats.org/drawingml/2006/main" xmlns:pic="http://schemas.openxmlformats.org/drawingml/2006/picture">
            <wp:extent cx="4937760" cy="3168574"/>
            <wp:docPr id="3" name="Picture 3"/>
            <wp:cNvGraphicFramePr>
              <a:graphicFrameLocks noChangeAspect="1"/>
            </wp:cNvGraphicFramePr>
            <a:graphic>
              <a:graphicData uri="http://schemas.openxmlformats.org/drawingml/2006/picture">
                <pic:pic>
                  <pic:nvPicPr>
                    <pic:cNvPr id="0" name="tracy_widom.png"/>
                    <pic:cNvPicPr/>
                  </pic:nvPicPr>
                  <pic:blipFill>
                    <a:blip r:embed="rId12"/>
                    <a:stretch>
                      <a:fillRect/>
                    </a:stretch>
                  </pic:blipFill>
                  <pic:spPr>
                    <a:xfrm>
                      <a:off x="0" y="0"/>
                      <a:ext cx="4937760" cy="3168574"/>
                    </a:xfrm>
                    <a:prstGeom prst="rect"/>
                  </pic:spPr>
                </pic:pic>
              </a:graphicData>
            </a:graphic>
          </wp:inline>
        </w:drawing>
      </w:r>
    </w:p>
    <w:p>
      <w:pPr>
        <w:spacing w:after="200"/>
        <w:jc w:val="center"/>
      </w:pPr>
      <w:r>
        <w:rPr>
          <w:i/>
          <w:color w:val="64748B"/>
          <w:sz w:val="17"/>
        </w:rPr>
        <w:t>Plate C.2. Tracy–Widom F₂ at the spectral edge — the eighth path of Section 8.</w:t>
      </w:r>
    </w:p>
    <w:p>
      <w:pPr>
        <w:spacing w:before="160" w:after="40"/>
        <w:jc w:val="center"/>
      </w:pPr>
      <w:r>
        <w:drawing>
          <wp:inline xmlns:a="http://schemas.openxmlformats.org/drawingml/2006/main" xmlns:pic="http://schemas.openxmlformats.org/drawingml/2006/picture">
            <wp:extent cx="4937760" cy="3168574"/>
            <wp:docPr id="4" name="Picture 4"/>
            <wp:cNvGraphicFramePr>
              <a:graphicFrameLocks noChangeAspect="1"/>
            </wp:cNvGraphicFramePr>
            <a:graphic>
              <a:graphicData uri="http://schemas.openxmlformats.org/drawingml/2006/picture">
                <pic:pic>
                  <pic:nvPicPr>
                    <pic:cNvPr id="0" name="bbp_transition.png"/>
                    <pic:cNvPicPr/>
                  </pic:nvPicPr>
                  <pic:blipFill>
                    <a:blip r:embed="rId13"/>
                    <a:stretch>
                      <a:fillRect/>
                    </a:stretch>
                  </pic:blipFill>
                  <pic:spPr>
                    <a:xfrm>
                      <a:off x="0" y="0"/>
                      <a:ext cx="4937760" cy="3168574"/>
                    </a:xfrm>
                    <a:prstGeom prst="rect"/>
                  </pic:spPr>
                </pic:pic>
              </a:graphicData>
            </a:graphic>
          </wp:inline>
        </w:drawing>
      </w:r>
    </w:p>
    <w:p>
      <w:pPr>
        <w:spacing w:after="200"/>
        <w:jc w:val="center"/>
      </w:pPr>
      <w:r>
        <w:rPr>
          <w:i/>
          <w:color w:val="64748B"/>
          <w:sz w:val="17"/>
        </w:rPr>
        <w:t>Plate C.3. The BBP spike λ_max(θ) — the reference transition the ten paths converge toward.</w:t>
      </w:r>
    </w:p>
    <w:p>
      <w:pPr>
        <w:pStyle w:val="Heading1"/>
        <w:keepNext/>
      </w:pPr>
      <w:r>
        <w:rPr>
          <w:b/>
          <w:color w:val="0A9B72"/>
          <w:sz w:val="32"/>
        </w:rPr>
        <w:t>Appendix D. Verification Protocol</w:t>
      </w:r>
    </w:p>
    <w:p>
      <w:pPr>
        <w:spacing w:after="120" w:line="300" w:lineRule="auto"/>
        <w:jc w:val="both"/>
      </w:pPr>
      <w:r>
        <w:rPr>
          <w:i w:val="0"/>
          <w:color w:val="1E293B"/>
          <w:sz w:val="22"/>
        </w:rPr>
        <w:t>The 101 tests of the core suite are organised module-by-module, mirroring Appendix A: the NHSE tests assert the winding-number plateau and the imag(λ) collapse rate; the Caputo tests check the mean-collapse integrator against the analytic scaling μ_eff^{−1/β}; the EP-surface tests verify the ε^{1/k} response law by controlled perturbation; the Keating–Snaith tests pin the γ₁ correction series against the tabulated zeta zeros. Together with the 379 laboratory tests they form the 480-test perimeter inside which every quantitative claim of this monograph is guarded.</w:t>
      </w:r>
    </w:p>
    <w:p>
      <w:pPr>
        <w:spacing w:before="80" w:after="0"/>
        <w:ind w:left="280"/>
        <w:shd w:val="clear" w:fill="0E1726"/>
      </w:pPr>
      <w:r>
        <w:rPr>
          <w:rFonts w:ascii="Consolas" w:hAnsi="Consolas"/>
          <w:color w:val="D1FAE5"/>
          <w:sz w:val="18"/>
        </w:rPr>
        <w:t xml:space="preserve">  pytest src/rmt_llm/tests -q --tb=short   # mechanism tests, module by module</w:t>
      </w:r>
    </w:p>
    <w:p>
      <w:pPr>
        <w:spacing w:before="0" w:after="80"/>
        <w:ind w:left="280"/>
        <w:shd w:val="clear" w:fill="0E1726"/>
      </w:pPr>
      <w:r>
        <w:rPr>
          <w:rFonts w:ascii="Consolas" w:hAnsi="Consolas"/>
          <w:color w:val="D1FAE5"/>
          <w:sz w:val="18"/>
        </w:rPr>
        <w:t xml:space="preserve">  python -c "from rmt_llm.caputo_fractional import caputo_n_crit; print(caputo_n_crit())"</w:t>
      </w:r>
    </w:p>
    <w:p>
      <w:pPr>
        <w:spacing w:after="120" w:line="300" w:lineRule="auto"/>
        <w:jc w:val="both"/>
      </w:pPr>
      <w:r>
        <w:rPr>
          <w:i w:val="0"/>
          <w:color w:val="1E293B"/>
          <w:sz w:val="22"/>
        </w:rPr>
        <w:t>Cross-references. The empirical base of the ten paths is documented in M01–M04; the behavioural consequences in M05. The merged narrative with the full bibliography is papers/LLM_Analysis_Merged.pdf.</w:t>
      </w:r>
    </w:p>
    <w:p>
      <w:pPr>
        <w:pStyle w:val="Heading1"/>
        <w:keepNext/>
      </w:pPr>
      <w:r>
        <w:rPr>
          <w:b/>
          <w:color w:val="0A9B72"/>
          <w:sz w:val="32"/>
        </w:rPr>
        <w:t>Appendix E. The Tabulated Zero Census</w:t>
      </w:r>
    </w:p>
    <w:p>
      <w:pPr>
        <w:spacing w:after="120" w:line="300" w:lineRule="auto"/>
        <w:jc w:val="both"/>
      </w:pPr>
      <w:r>
        <w:rPr>
          <w:i w:val="0"/>
          <w:color w:val="1E293B"/>
          <w:sz w:val="22"/>
        </w:rPr>
        <w:t>The Keating–Snaith statistics of Section 7 are computed against the tabulated zeta zeros shipped in constants.py; the census below reproduces all twenty values so the print edition is self-contained. The series ks_correction_series interpolates through exactly these ordinates, and the tests pin the interpolation against each row independently — a silent recalibration of any single entry would break the suite.</w:t>
      </w:r>
    </w:p>
    <w:tbl>
      <w:tblPr>
        <w:tblW w:type="auto" w:w="0"/>
        <w:jc w:val="center"/>
        <w:tblLook w:firstColumn="1" w:firstRow="1" w:lastColumn="0" w:lastRow="0" w:noHBand="0" w:noVBand="1" w:val="04A0"/>
        <w:tblBorders>
          <w:top w:val="single" w:sz="4" w:color="D8E2DC"/>
          <w:left w:val="single" w:sz="4" w:color="D8E2DC"/>
          <w:bottom w:val="single" w:sz="4" w:color="D8E2DC"/>
          <w:right w:val="single" w:sz="4" w:color="D8E2DC"/>
          <w:insideH w:val="single" w:sz="4" w:color="D8E2DC"/>
          <w:insideV w:val="single" w:sz="4" w:color="D8E2DC"/>
        </w:tblBorders>
        <w:tblCellMar>
          <w:top w:w="60" w:type="dxa"/>
          <w:left w:w="110" w:type="dxa"/>
          <w:bottom w:w="60" w:type="dxa"/>
          <w:right w:w="110" w:type="dxa"/>
        </w:tblCellMar>
      </w:tblPr>
      <w:tblGrid>
        <w:gridCol w:w="936"/>
        <w:gridCol w:w="3744"/>
        <w:gridCol w:w="936"/>
        <w:gridCol w:w="3744"/>
      </w:tblGrid>
      <w:tr>
        <w:trPr>
          <w:tblHeader/>
          <w:cantSplit/>
        </w:trPr>
        <w:tc>
          <w:tcPr>
            <w:tcW w:type="pct" w:w="500"/>
            <w:shd w:val="clear" w:fill="050510"/>
          </w:tcPr>
          <w:p>
            <w:pPr>
              <w:spacing w:before="40" w:after="40"/>
            </w:pPr>
            <w:r>
              <w:rPr>
                <w:b/>
                <w:color w:val="00FFA3"/>
                <w:sz w:val="19"/>
              </w:rPr>
              <w:t>k</w:t>
            </w:r>
          </w:p>
        </w:tc>
        <w:tc>
          <w:tcPr>
            <w:tcW w:type="pct" w:w="2000"/>
            <w:shd w:val="clear" w:fill="050510"/>
          </w:tcPr>
          <w:p>
            <w:pPr>
              <w:spacing w:before="40" w:after="40"/>
            </w:pPr>
            <w:r>
              <w:rPr>
                <w:b/>
                <w:color w:val="7DD3FC"/>
                <w:sz w:val="19"/>
              </w:rPr>
              <w:t>γₖ (Im zₖ)</w:t>
            </w:r>
          </w:p>
        </w:tc>
        <w:tc>
          <w:tcPr>
            <w:tcW w:type="pct" w:w="500"/>
            <w:shd w:val="clear" w:fill="050510"/>
          </w:tcPr>
          <w:p>
            <w:pPr>
              <w:spacing w:before="40" w:after="40"/>
            </w:pPr>
            <w:r>
              <w:rPr>
                <w:b/>
                <w:color w:val="00FFA3"/>
                <w:sz w:val="19"/>
              </w:rPr>
              <w:t>k</w:t>
            </w:r>
          </w:p>
        </w:tc>
        <w:tc>
          <w:tcPr>
            <w:tcW w:type="pct" w:w="2000"/>
            <w:shd w:val="clear" w:fill="050510"/>
          </w:tcPr>
          <w:p>
            <w:pPr>
              <w:spacing w:before="40" w:after="40"/>
            </w:pPr>
            <w:r>
              <w:rPr>
                <w:b/>
                <w:color w:val="7DD3FC"/>
                <w:sz w:val="19"/>
              </w:rPr>
              <w:t>γₖ (Im zₖ)</w:t>
            </w:r>
          </w:p>
        </w:tc>
      </w:tr>
      <w:tr>
        <w:tc>
          <w:tcPr>
            <w:tcW w:type="pct" w:w="500"/>
          </w:tcPr>
          <w:p>
            <w:pPr>
              <w:spacing w:before="20" w:after="20"/>
            </w:pPr>
            <w:r>
              <w:rPr>
                <w:b/>
                <w:color w:val="0A9B72"/>
                <w:sz w:val="19"/>
              </w:rPr>
              <w:t>1</w:t>
            </w:r>
          </w:p>
        </w:tc>
        <w:tc>
          <w:tcPr>
            <w:tcW w:type="pct" w:w="2000"/>
          </w:tcPr>
          <w:p>
            <w:pPr>
              <w:spacing w:before="20" w:after="20"/>
            </w:pPr>
            <w:r>
              <w:rPr>
                <w:color w:val="1E293B"/>
                <w:sz w:val="19"/>
              </w:rPr>
              <w:t>14.134725</w:t>
            </w:r>
          </w:p>
        </w:tc>
        <w:tc>
          <w:tcPr>
            <w:tcW w:type="pct" w:w="500"/>
          </w:tcPr>
          <w:p>
            <w:pPr>
              <w:spacing w:before="20" w:after="20"/>
            </w:pPr>
            <w:r>
              <w:rPr>
                <w:color w:val="1E293B"/>
                <w:sz w:val="19"/>
              </w:rPr>
              <w:t>11</w:t>
            </w:r>
          </w:p>
        </w:tc>
        <w:tc>
          <w:tcPr>
            <w:tcW w:type="pct" w:w="2000"/>
          </w:tcPr>
          <w:p>
            <w:pPr>
              <w:spacing w:before="20" w:after="20"/>
            </w:pPr>
            <w:r>
              <w:rPr>
                <w:color w:val="1E293B"/>
                <w:sz w:val="19"/>
              </w:rPr>
              <w:t>52.970321</w:t>
            </w:r>
          </w:p>
        </w:tc>
      </w:tr>
      <w:tr>
        <w:tc>
          <w:tcPr>
            <w:tcW w:type="pct" w:w="500"/>
            <w:shd w:val="clear" w:fill="F4F8F6"/>
          </w:tcPr>
          <w:p>
            <w:pPr>
              <w:spacing w:before="20" w:after="20"/>
            </w:pPr>
            <w:r>
              <w:rPr>
                <w:b/>
                <w:color w:val="0E7FA8"/>
                <w:sz w:val="19"/>
              </w:rPr>
              <w:t>2</w:t>
            </w:r>
          </w:p>
        </w:tc>
        <w:tc>
          <w:tcPr>
            <w:tcW w:type="pct" w:w="2000"/>
            <w:shd w:val="clear" w:fill="F4F8F6"/>
          </w:tcPr>
          <w:p>
            <w:pPr>
              <w:spacing w:before="20" w:after="20"/>
            </w:pPr>
            <w:r>
              <w:rPr>
                <w:color w:val="1E293B"/>
                <w:sz w:val="19"/>
              </w:rPr>
              <w:t>21.022040</w:t>
            </w:r>
          </w:p>
        </w:tc>
        <w:tc>
          <w:tcPr>
            <w:tcW w:type="pct" w:w="500"/>
            <w:shd w:val="clear" w:fill="F4F8F6"/>
          </w:tcPr>
          <w:p>
            <w:pPr>
              <w:spacing w:before="20" w:after="20"/>
            </w:pPr>
            <w:r>
              <w:rPr>
                <w:color w:val="1E293B"/>
                <w:sz w:val="19"/>
              </w:rPr>
              <w:t>12</w:t>
            </w:r>
          </w:p>
        </w:tc>
        <w:tc>
          <w:tcPr>
            <w:tcW w:type="pct" w:w="2000"/>
            <w:shd w:val="clear" w:fill="F4F8F6"/>
          </w:tcPr>
          <w:p>
            <w:pPr>
              <w:spacing w:before="20" w:after="20"/>
            </w:pPr>
            <w:r>
              <w:rPr>
                <w:color w:val="1E293B"/>
                <w:sz w:val="19"/>
              </w:rPr>
              <w:t>56.446248</w:t>
            </w:r>
          </w:p>
        </w:tc>
      </w:tr>
      <w:tr>
        <w:tc>
          <w:tcPr>
            <w:tcW w:type="pct" w:w="500"/>
          </w:tcPr>
          <w:p>
            <w:pPr>
              <w:spacing w:before="20" w:after="20"/>
            </w:pPr>
            <w:r>
              <w:rPr>
                <w:b/>
                <w:color w:val="0A9B72"/>
                <w:sz w:val="19"/>
              </w:rPr>
              <w:t>3</w:t>
            </w:r>
          </w:p>
        </w:tc>
        <w:tc>
          <w:tcPr>
            <w:tcW w:type="pct" w:w="2000"/>
          </w:tcPr>
          <w:p>
            <w:pPr>
              <w:spacing w:before="20" w:after="20"/>
            </w:pPr>
            <w:r>
              <w:rPr>
                <w:color w:val="1E293B"/>
                <w:sz w:val="19"/>
              </w:rPr>
              <w:t>25.010858</w:t>
            </w:r>
          </w:p>
        </w:tc>
        <w:tc>
          <w:tcPr>
            <w:tcW w:type="pct" w:w="500"/>
          </w:tcPr>
          <w:p>
            <w:pPr>
              <w:spacing w:before="20" w:after="20"/>
            </w:pPr>
            <w:r>
              <w:rPr>
                <w:color w:val="1E293B"/>
                <w:sz w:val="19"/>
              </w:rPr>
              <w:t>13</w:t>
            </w:r>
          </w:p>
        </w:tc>
        <w:tc>
          <w:tcPr>
            <w:tcW w:type="pct" w:w="2000"/>
          </w:tcPr>
          <w:p>
            <w:pPr>
              <w:spacing w:before="20" w:after="20"/>
            </w:pPr>
            <w:r>
              <w:rPr>
                <w:color w:val="1E293B"/>
                <w:sz w:val="19"/>
              </w:rPr>
              <w:t>59.347044</w:t>
            </w:r>
          </w:p>
        </w:tc>
      </w:tr>
      <w:tr>
        <w:tc>
          <w:tcPr>
            <w:tcW w:type="pct" w:w="500"/>
            <w:shd w:val="clear" w:fill="F4F8F6"/>
          </w:tcPr>
          <w:p>
            <w:pPr>
              <w:spacing w:before="20" w:after="20"/>
            </w:pPr>
            <w:r>
              <w:rPr>
                <w:b/>
                <w:color w:val="0E7FA8"/>
                <w:sz w:val="19"/>
              </w:rPr>
              <w:t>4</w:t>
            </w:r>
          </w:p>
        </w:tc>
        <w:tc>
          <w:tcPr>
            <w:tcW w:type="pct" w:w="2000"/>
            <w:shd w:val="clear" w:fill="F4F8F6"/>
          </w:tcPr>
          <w:p>
            <w:pPr>
              <w:spacing w:before="20" w:after="20"/>
            </w:pPr>
            <w:r>
              <w:rPr>
                <w:color w:val="1E293B"/>
                <w:sz w:val="19"/>
              </w:rPr>
              <w:t>30.424876</w:t>
            </w:r>
          </w:p>
        </w:tc>
        <w:tc>
          <w:tcPr>
            <w:tcW w:type="pct" w:w="500"/>
            <w:shd w:val="clear" w:fill="F4F8F6"/>
          </w:tcPr>
          <w:p>
            <w:pPr>
              <w:spacing w:before="20" w:after="20"/>
            </w:pPr>
            <w:r>
              <w:rPr>
                <w:color w:val="1E293B"/>
                <w:sz w:val="19"/>
              </w:rPr>
              <w:t>14</w:t>
            </w:r>
          </w:p>
        </w:tc>
        <w:tc>
          <w:tcPr>
            <w:tcW w:type="pct" w:w="2000"/>
            <w:shd w:val="clear" w:fill="F4F8F6"/>
          </w:tcPr>
          <w:p>
            <w:pPr>
              <w:spacing w:before="20" w:after="20"/>
            </w:pPr>
            <w:r>
              <w:rPr>
                <w:color w:val="1E293B"/>
                <w:sz w:val="19"/>
              </w:rPr>
              <w:t>60.831779</w:t>
            </w:r>
          </w:p>
        </w:tc>
      </w:tr>
      <w:tr>
        <w:tc>
          <w:tcPr>
            <w:tcW w:type="pct" w:w="500"/>
          </w:tcPr>
          <w:p>
            <w:pPr>
              <w:spacing w:before="20" w:after="20"/>
            </w:pPr>
            <w:r>
              <w:rPr>
                <w:b/>
                <w:color w:val="0A9B72"/>
                <w:sz w:val="19"/>
              </w:rPr>
              <w:t>5</w:t>
            </w:r>
          </w:p>
        </w:tc>
        <w:tc>
          <w:tcPr>
            <w:tcW w:type="pct" w:w="2000"/>
          </w:tcPr>
          <w:p>
            <w:pPr>
              <w:spacing w:before="20" w:after="20"/>
            </w:pPr>
            <w:r>
              <w:rPr>
                <w:color w:val="1E293B"/>
                <w:sz w:val="19"/>
              </w:rPr>
              <w:t>32.935062</w:t>
            </w:r>
          </w:p>
        </w:tc>
        <w:tc>
          <w:tcPr>
            <w:tcW w:type="pct" w:w="500"/>
          </w:tcPr>
          <w:p>
            <w:pPr>
              <w:spacing w:before="20" w:after="20"/>
            </w:pPr>
            <w:r>
              <w:rPr>
                <w:color w:val="1E293B"/>
                <w:sz w:val="19"/>
              </w:rPr>
              <w:t>15</w:t>
            </w:r>
          </w:p>
        </w:tc>
        <w:tc>
          <w:tcPr>
            <w:tcW w:type="pct" w:w="2000"/>
          </w:tcPr>
          <w:p>
            <w:pPr>
              <w:spacing w:before="20" w:after="20"/>
            </w:pPr>
            <w:r>
              <w:rPr>
                <w:color w:val="1E293B"/>
                <w:sz w:val="19"/>
              </w:rPr>
              <w:t>65.112544</w:t>
            </w:r>
          </w:p>
        </w:tc>
      </w:tr>
      <w:tr>
        <w:tc>
          <w:tcPr>
            <w:tcW w:type="pct" w:w="500"/>
            <w:shd w:val="clear" w:fill="F4F8F6"/>
          </w:tcPr>
          <w:p>
            <w:pPr>
              <w:spacing w:before="20" w:after="20"/>
            </w:pPr>
            <w:r>
              <w:rPr>
                <w:b/>
                <w:color w:val="0E7FA8"/>
                <w:sz w:val="19"/>
              </w:rPr>
              <w:t>6</w:t>
            </w:r>
          </w:p>
        </w:tc>
        <w:tc>
          <w:tcPr>
            <w:tcW w:type="pct" w:w="2000"/>
            <w:shd w:val="clear" w:fill="F4F8F6"/>
          </w:tcPr>
          <w:p>
            <w:pPr>
              <w:spacing w:before="20" w:after="20"/>
            </w:pPr>
            <w:r>
              <w:rPr>
                <w:color w:val="1E293B"/>
                <w:sz w:val="19"/>
              </w:rPr>
              <w:t>37.586178</w:t>
            </w:r>
          </w:p>
        </w:tc>
        <w:tc>
          <w:tcPr>
            <w:tcW w:type="pct" w:w="500"/>
            <w:shd w:val="clear" w:fill="F4F8F6"/>
          </w:tcPr>
          <w:p>
            <w:pPr>
              <w:spacing w:before="20" w:after="20"/>
            </w:pPr>
            <w:r>
              <w:rPr>
                <w:color w:val="1E293B"/>
                <w:sz w:val="19"/>
              </w:rPr>
              <w:t>16</w:t>
            </w:r>
          </w:p>
        </w:tc>
        <w:tc>
          <w:tcPr>
            <w:tcW w:type="pct" w:w="2000"/>
            <w:shd w:val="clear" w:fill="F4F8F6"/>
          </w:tcPr>
          <w:p>
            <w:pPr>
              <w:spacing w:before="20" w:after="20"/>
            </w:pPr>
            <w:r>
              <w:rPr>
                <w:color w:val="1E293B"/>
                <w:sz w:val="19"/>
              </w:rPr>
              <w:t>67.079810</w:t>
            </w:r>
          </w:p>
        </w:tc>
      </w:tr>
      <w:tr>
        <w:tc>
          <w:tcPr>
            <w:tcW w:type="pct" w:w="500"/>
          </w:tcPr>
          <w:p>
            <w:pPr>
              <w:spacing w:before="20" w:after="20"/>
            </w:pPr>
            <w:r>
              <w:rPr>
                <w:b/>
                <w:color w:val="0A9B72"/>
                <w:sz w:val="19"/>
              </w:rPr>
              <w:t>7</w:t>
            </w:r>
          </w:p>
        </w:tc>
        <w:tc>
          <w:tcPr>
            <w:tcW w:type="pct" w:w="2000"/>
          </w:tcPr>
          <w:p>
            <w:pPr>
              <w:spacing w:before="20" w:after="20"/>
            </w:pPr>
            <w:r>
              <w:rPr>
                <w:color w:val="1E293B"/>
                <w:sz w:val="19"/>
              </w:rPr>
              <w:t>40.918719</w:t>
            </w:r>
          </w:p>
        </w:tc>
        <w:tc>
          <w:tcPr>
            <w:tcW w:type="pct" w:w="500"/>
          </w:tcPr>
          <w:p>
            <w:pPr>
              <w:spacing w:before="20" w:after="20"/>
            </w:pPr>
            <w:r>
              <w:rPr>
                <w:color w:val="1E293B"/>
                <w:sz w:val="19"/>
              </w:rPr>
              <w:t>17</w:t>
            </w:r>
          </w:p>
        </w:tc>
        <w:tc>
          <w:tcPr>
            <w:tcW w:type="pct" w:w="2000"/>
          </w:tcPr>
          <w:p>
            <w:pPr>
              <w:spacing w:before="20" w:after="20"/>
            </w:pPr>
            <w:r>
              <w:rPr>
                <w:color w:val="1E293B"/>
                <w:sz w:val="19"/>
              </w:rPr>
              <w:t>69.546402</w:t>
            </w:r>
          </w:p>
        </w:tc>
      </w:tr>
      <w:tr>
        <w:tc>
          <w:tcPr>
            <w:tcW w:type="pct" w:w="500"/>
            <w:shd w:val="clear" w:fill="F4F8F6"/>
          </w:tcPr>
          <w:p>
            <w:pPr>
              <w:spacing w:before="20" w:after="20"/>
            </w:pPr>
            <w:r>
              <w:rPr>
                <w:b/>
                <w:color w:val="0E7FA8"/>
                <w:sz w:val="19"/>
              </w:rPr>
              <w:t>8</w:t>
            </w:r>
          </w:p>
        </w:tc>
        <w:tc>
          <w:tcPr>
            <w:tcW w:type="pct" w:w="2000"/>
            <w:shd w:val="clear" w:fill="F4F8F6"/>
          </w:tcPr>
          <w:p>
            <w:pPr>
              <w:spacing w:before="20" w:after="20"/>
            </w:pPr>
            <w:r>
              <w:rPr>
                <w:color w:val="1E293B"/>
                <w:sz w:val="19"/>
              </w:rPr>
              <w:t>43.327073</w:t>
            </w:r>
          </w:p>
        </w:tc>
        <w:tc>
          <w:tcPr>
            <w:tcW w:type="pct" w:w="500"/>
            <w:shd w:val="clear" w:fill="F4F8F6"/>
          </w:tcPr>
          <w:p>
            <w:pPr>
              <w:spacing w:before="20" w:after="20"/>
            </w:pPr>
            <w:r>
              <w:rPr>
                <w:color w:val="1E293B"/>
                <w:sz w:val="19"/>
              </w:rPr>
              <w:t>18</w:t>
            </w:r>
          </w:p>
        </w:tc>
        <w:tc>
          <w:tcPr>
            <w:tcW w:type="pct" w:w="2000"/>
            <w:shd w:val="clear" w:fill="F4F8F6"/>
          </w:tcPr>
          <w:p>
            <w:pPr>
              <w:spacing w:before="20" w:after="20"/>
            </w:pPr>
            <w:r>
              <w:rPr>
                <w:color w:val="1E293B"/>
                <w:sz w:val="19"/>
              </w:rPr>
              <w:t>72.067158</w:t>
            </w:r>
          </w:p>
        </w:tc>
      </w:tr>
      <w:tr>
        <w:tc>
          <w:tcPr>
            <w:tcW w:type="pct" w:w="500"/>
          </w:tcPr>
          <w:p>
            <w:pPr>
              <w:spacing w:before="20" w:after="20"/>
            </w:pPr>
            <w:r>
              <w:rPr>
                <w:b/>
                <w:color w:val="0A9B72"/>
                <w:sz w:val="19"/>
              </w:rPr>
              <w:t>9</w:t>
            </w:r>
          </w:p>
        </w:tc>
        <w:tc>
          <w:tcPr>
            <w:tcW w:type="pct" w:w="2000"/>
          </w:tcPr>
          <w:p>
            <w:pPr>
              <w:spacing w:before="20" w:after="20"/>
            </w:pPr>
            <w:r>
              <w:rPr>
                <w:color w:val="1E293B"/>
                <w:sz w:val="19"/>
              </w:rPr>
              <w:t>48.005151</w:t>
            </w:r>
          </w:p>
        </w:tc>
        <w:tc>
          <w:tcPr>
            <w:tcW w:type="pct" w:w="500"/>
          </w:tcPr>
          <w:p>
            <w:pPr>
              <w:spacing w:before="20" w:after="20"/>
            </w:pPr>
            <w:r>
              <w:rPr>
                <w:color w:val="1E293B"/>
                <w:sz w:val="19"/>
              </w:rPr>
              <w:t>19</w:t>
            </w:r>
          </w:p>
        </w:tc>
        <w:tc>
          <w:tcPr>
            <w:tcW w:type="pct" w:w="2000"/>
          </w:tcPr>
          <w:p>
            <w:pPr>
              <w:spacing w:before="20" w:after="20"/>
            </w:pPr>
            <w:r>
              <w:rPr>
                <w:color w:val="1E293B"/>
                <w:sz w:val="19"/>
              </w:rPr>
              <w:t>75.704691</w:t>
            </w:r>
          </w:p>
        </w:tc>
      </w:tr>
      <w:tr>
        <w:tc>
          <w:tcPr>
            <w:tcW w:type="pct" w:w="500"/>
            <w:shd w:val="clear" w:fill="F4F8F6"/>
          </w:tcPr>
          <w:p>
            <w:pPr>
              <w:spacing w:before="20" w:after="20"/>
            </w:pPr>
            <w:r>
              <w:rPr>
                <w:b/>
                <w:color w:val="0E7FA8"/>
                <w:sz w:val="19"/>
              </w:rPr>
              <w:t>10</w:t>
            </w:r>
          </w:p>
        </w:tc>
        <w:tc>
          <w:tcPr>
            <w:tcW w:type="pct" w:w="2000"/>
            <w:shd w:val="clear" w:fill="F4F8F6"/>
          </w:tcPr>
          <w:p>
            <w:pPr>
              <w:spacing w:before="20" w:after="20"/>
            </w:pPr>
            <w:r>
              <w:rPr>
                <w:color w:val="1E293B"/>
                <w:sz w:val="19"/>
              </w:rPr>
              <w:t>49.773832</w:t>
            </w:r>
          </w:p>
        </w:tc>
        <w:tc>
          <w:tcPr>
            <w:tcW w:type="pct" w:w="500"/>
            <w:shd w:val="clear" w:fill="F4F8F6"/>
          </w:tcPr>
          <w:p>
            <w:pPr>
              <w:spacing w:before="20" w:after="20"/>
            </w:pPr>
            <w:r>
              <w:rPr>
                <w:color w:val="1E293B"/>
                <w:sz w:val="19"/>
              </w:rPr>
              <w:t>20</w:t>
            </w:r>
          </w:p>
        </w:tc>
        <w:tc>
          <w:tcPr>
            <w:tcW w:type="pct" w:w="2000"/>
            <w:shd w:val="clear" w:fill="F4F8F6"/>
          </w:tcPr>
          <w:p>
            <w:pPr>
              <w:spacing w:before="20" w:after="20"/>
            </w:pPr>
            <w:r>
              <w:rPr>
                <w:color w:val="1E293B"/>
                <w:sz w:val="19"/>
              </w:rPr>
              <w:t>77.144840</w:t>
            </w:r>
          </w:p>
        </w:tc>
      </w:tr>
    </w:tbl>
    <w:p>
      <w:pPr>
        <w:spacing w:after="40"/>
      </w:pPr>
    </w:p>
    <w:p>
      <w:pPr>
        <w:pStyle w:val="Heading1"/>
        <w:keepNext/>
      </w:pPr>
      <w:r>
        <w:rPr>
          <w:b/>
          <w:color w:val="0A9B72"/>
          <w:sz w:val="32"/>
        </w:rPr>
        <w:t>Appendix F. Exit Codes and Reproduction</w:t>
      </w:r>
    </w:p>
    <w:p>
      <w:pPr>
        <w:spacing w:after="120" w:line="300" w:lineRule="auto"/>
        <w:jc w:val="both"/>
      </w:pPr>
      <w:r>
        <w:rPr>
          <w:i w:val="0"/>
          <w:color w:val="1E293B"/>
          <w:sz w:val="22"/>
        </w:rPr>
        <w:t>Every executable stand of the framework — module tests, scenario runs, the scaling ladder — honours the same contract: exit code 0 means the claim under test is accepted, 1 means it is refuted or the run is inconsistent. This convention is what allows the continuous integration pipeline to gate commits mechanically and what makes the verification column of the repository README meaningful. The checklist below is the minimal reproduction path for this monograph's claims.</w:t>
      </w:r>
    </w:p>
    <w:p>
      <w:pPr>
        <w:spacing w:before="80" w:after="0"/>
        <w:ind w:left="280"/>
        <w:shd w:val="clear" w:fill="0E1726"/>
      </w:pPr>
      <w:r>
        <w:rPr>
          <w:rFonts w:ascii="Consolas" w:hAnsi="Consolas"/>
          <w:color w:val="7DD3FC"/>
          <w:sz w:val="18"/>
        </w:rPr>
        <w:t xml:space="preserve">  # 1. clone &amp; install (Python ≥ 3.11)</w:t>
      </w:r>
    </w:p>
    <w:p>
      <w:pPr>
        <w:spacing w:before="0" w:after="0"/>
        <w:ind w:left="280"/>
        <w:shd w:val="clear" w:fill="0E1726"/>
      </w:pPr>
      <w:r>
        <w:rPr>
          <w:rFonts w:ascii="Consolas" w:hAnsi="Consolas"/>
          <w:color w:val="D1FAE5"/>
          <w:sz w:val="18"/>
        </w:rPr>
        <w:t xml:space="preserve">  git clone https://github.com/wild8highlander/rmt-llm-research</w:t>
      </w:r>
    </w:p>
    <w:p>
      <w:pPr>
        <w:spacing w:before="0" w:after="0"/>
        <w:ind w:left="280"/>
        <w:shd w:val="clear" w:fill="0E1726"/>
      </w:pPr>
      <w:r>
        <w:rPr>
          <w:rFonts w:ascii="Consolas" w:hAnsi="Consolas"/>
          <w:color w:val="D1FAE5"/>
          <w:sz w:val="18"/>
        </w:rPr>
        <w:t xml:space="preserve">  cd rmt-llm-research &amp;&amp; pip install -e .</w:t>
      </w:r>
    </w:p>
    <w:p>
      <w:pPr>
        <w:spacing w:before="0" w:after="0"/>
        <w:ind w:left="280"/>
        <w:shd w:val="clear" w:fill="0E1726"/>
      </w:pPr>
      <w:r>
        <w:rPr>
          <w:rFonts w:ascii="Consolas" w:hAnsi="Consolas"/>
          <w:color w:val="7DD3FC"/>
          <w:sz w:val="18"/>
        </w:rPr>
        <w:t xml:space="preserve">  # 2. verify the machinery this monograph relies on</w:t>
      </w:r>
    </w:p>
    <w:p>
      <w:pPr>
        <w:spacing w:before="0" w:after="0"/>
        <w:ind w:left="280"/>
        <w:shd w:val="clear" w:fill="0E1726"/>
      </w:pPr>
      <w:r>
        <w:rPr>
          <w:rFonts w:ascii="Consolas" w:hAnsi="Consolas"/>
          <w:color w:val="D1FAE5"/>
          <w:sz w:val="18"/>
        </w:rPr>
        <w:t xml:space="preserve">  pytest src/rmt_llm/tests -q</w:t>
      </w:r>
    </w:p>
    <w:p>
      <w:pPr>
        <w:spacing w:before="0" w:after="0"/>
        <w:ind w:left="280"/>
        <w:shd w:val="clear" w:fill="0E1726"/>
      </w:pPr>
      <w:r>
        <w:rPr>
          <w:rFonts w:ascii="Consolas" w:hAnsi="Consolas"/>
          <w:color w:val="7DD3FC"/>
          <w:sz w:val="18"/>
        </w:rPr>
        <w:t xml:space="preserve">  # 3. regenerate the empirical artefacts</w:t>
      </w:r>
    </w:p>
    <w:p>
      <w:pPr>
        <w:spacing w:before="0" w:after="80"/>
        <w:ind w:left="280"/>
        <w:shd w:val="clear" w:fill="0E1726"/>
      </w:pPr>
      <w:r>
        <w:rPr>
          <w:rFonts w:ascii="Consolas" w:hAnsi="Consolas"/>
          <w:color w:val="D1FAE5"/>
          <w:sz w:val="18"/>
        </w:rPr>
        <w:t xml:space="preserve">  cd laboratory/python/lab_en &amp;&amp; python run_full_lab.py</w:t>
      </w:r>
    </w:p>
    <w:p>
      <w:pPr>
        <w:pStyle w:val="Heading1"/>
        <w:keepNext/>
      </w:pPr>
      <w:r>
        <w:rPr>
          <w:b/>
          <w:color w:val="0A9B72"/>
          <w:sz w:val="32"/>
        </w:rPr>
        <w:t>Appendix G. Repository Map</w:t>
      </w:r>
    </w:p>
    <w:p>
      <w:pPr>
        <w:spacing w:after="120" w:line="300" w:lineRule="auto"/>
        <w:jc w:val="both"/>
      </w:pPr>
      <w:r>
        <w:rPr>
          <w:i w:val="0"/>
          <w:color w:val="1E293B"/>
          <w:sz w:val="22"/>
        </w:rPr>
        <w:t>The monographs predate much of the repository, so this closing map gathers in one table the parts of the project a reader of the theory should know about. The guiding principle of the layout is separation of layers: pure mathematics in src/rmt_llm/, empirical harnesses in the laboratories, the self-trained subject model in research/, and the teaching materials in notebooks/ and docs/. Nothing in the table is decorative — every path either produces the numbers quoted in the registries of this edition or reproduces the figures of the main text.</w:t>
      </w:r>
    </w:p>
    <w:tbl>
      <w:tblPr>
        <w:tblW w:type="auto" w:w="0"/>
        <w:jc w:val="center"/>
        <w:tblLook w:firstColumn="1" w:firstRow="1" w:lastColumn="0" w:lastRow="0" w:noHBand="0" w:noVBand="1" w:val="04A0"/>
        <w:tblBorders>
          <w:top w:val="single" w:sz="4" w:color="D8E2DC"/>
          <w:left w:val="single" w:sz="4" w:color="D8E2DC"/>
          <w:bottom w:val="single" w:sz="4" w:color="D8E2DC"/>
          <w:right w:val="single" w:sz="4" w:color="D8E2DC"/>
          <w:insideH w:val="single" w:sz="4" w:color="D8E2DC"/>
          <w:insideV w:val="single" w:sz="4" w:color="D8E2DC"/>
        </w:tblBorders>
        <w:tblCellMar>
          <w:top w:w="60" w:type="dxa"/>
          <w:left w:w="110" w:type="dxa"/>
          <w:bottom w:w="60" w:type="dxa"/>
          <w:right w:w="110" w:type="dxa"/>
        </w:tblCellMar>
      </w:tblPr>
      <w:tblGrid>
        <w:gridCol w:w="2433"/>
        <w:gridCol w:w="6926"/>
      </w:tblGrid>
      <w:tr>
        <w:trPr>
          <w:tblHeader/>
          <w:cantSplit/>
        </w:trPr>
        <w:tc>
          <w:tcPr>
            <w:tcW w:type="pct" w:w="1300"/>
            <w:shd w:val="clear" w:fill="050510"/>
          </w:tcPr>
          <w:p>
            <w:pPr>
              <w:spacing w:before="40" w:after="40"/>
            </w:pPr>
            <w:r>
              <w:rPr>
                <w:b/>
                <w:color w:val="00FFA3"/>
                <w:sz w:val="19"/>
              </w:rPr>
              <w:t>Repository path</w:t>
            </w:r>
          </w:p>
        </w:tc>
        <w:tc>
          <w:tcPr>
            <w:tcW w:type="pct" w:w="3700"/>
            <w:shd w:val="clear" w:fill="050510"/>
          </w:tcPr>
          <w:p>
            <w:pPr>
              <w:spacing w:before="40" w:after="40"/>
            </w:pPr>
            <w:r>
              <w:rPr>
                <w:b/>
                <w:color w:val="7DD3FC"/>
                <w:sz w:val="19"/>
              </w:rPr>
              <w:t>What lives there</w:t>
            </w:r>
          </w:p>
        </w:tc>
      </w:tr>
      <w:tr>
        <w:tc>
          <w:tcPr>
            <w:tcW w:type="pct" w:w="1300"/>
          </w:tcPr>
          <w:p>
            <w:pPr>
              <w:spacing w:before="20" w:after="20"/>
            </w:pPr>
            <w:r>
              <w:rPr>
                <w:b/>
                <w:color w:val="0A9B72"/>
                <w:sz w:val="19"/>
              </w:rPr>
              <w:t>src/rmt_llm/</w:t>
            </w:r>
          </w:p>
        </w:tc>
        <w:tc>
          <w:tcPr>
            <w:tcW w:type="pct" w:w="3700"/>
          </w:tcPr>
          <w:p>
            <w:pPr>
              <w:spacing w:before="20" w:after="20"/>
            </w:pPr>
            <w:r>
              <w:rPr>
                <w:color w:val="1E293B"/>
                <w:sz w:val="19"/>
              </w:rPr>
              <w:t>core library — 13 modules of the spectral machinery (MP, BBP, Tracy–Widom, NHSE, Caputo, EP, Keating–Snaith, thermodynamics, circular ensembles, Dyson BM, free probability), 101 tests</w:t>
            </w:r>
          </w:p>
        </w:tc>
      </w:tr>
      <w:tr>
        <w:tc>
          <w:tcPr>
            <w:tcW w:type="pct" w:w="1300"/>
            <w:shd w:val="clear" w:fill="F4F8F6"/>
          </w:tcPr>
          <w:p>
            <w:pPr>
              <w:spacing w:before="20" w:after="20"/>
            </w:pPr>
            <w:r>
              <w:rPr>
                <w:b/>
                <w:color w:val="0E7FA8"/>
                <w:sz w:val="19"/>
              </w:rPr>
              <w:t>laboratory/&lt;lang&gt;/ × 7</w:t>
            </w:r>
          </w:p>
        </w:tc>
        <w:tc>
          <w:tcPr>
            <w:tcW w:type="pct" w:w="3700"/>
            <w:shd w:val="clear" w:fill="F4F8F6"/>
          </w:tcPr>
          <w:p>
            <w:pPr>
              <w:spacing w:before="20" w:after="20"/>
            </w:pPr>
            <w:r>
              <w:rPr>
                <w:color w:val="1E293B"/>
                <w:sz w:val="19"/>
              </w:rPr>
              <w:t>polyglot laboratories in C++, Go, Java, Julia, Python, R and Rust — each in an English (lab_en) and a Russian (lab_ru) edition</w:t>
            </w:r>
          </w:p>
        </w:tc>
      </w:tr>
      <w:tr>
        <w:tc>
          <w:tcPr>
            <w:tcW w:type="pct" w:w="1300"/>
          </w:tcPr>
          <w:p>
            <w:pPr>
              <w:spacing w:before="20" w:after="20"/>
            </w:pPr>
            <w:r>
              <w:rPr>
                <w:b/>
                <w:color w:val="0A9B72"/>
                <w:sz w:val="19"/>
              </w:rPr>
              <w:t>laboratory/shared/</w:t>
            </w:r>
          </w:p>
        </w:tc>
        <w:tc>
          <w:tcPr>
            <w:tcW w:type="pct" w:w="3700"/>
          </w:tcPr>
          <w:p>
            <w:pPr>
              <w:spacing w:before="20" w:after="20"/>
            </w:pPr>
            <w:r>
              <w:rPr>
                <w:color w:val="1E293B"/>
                <w:sz w:val="19"/>
              </w:rPr>
              <w:t>scenarios.json — the single source of the 13 behavioural experiments consumed identically by every port</w:t>
            </w:r>
          </w:p>
        </w:tc>
      </w:tr>
      <w:tr>
        <w:tc>
          <w:tcPr>
            <w:tcW w:type="pct" w:w="1300"/>
            <w:shd w:val="clear" w:fill="F4F8F6"/>
          </w:tcPr>
          <w:p>
            <w:pPr>
              <w:spacing w:before="20" w:after="20"/>
            </w:pPr>
            <w:r>
              <w:rPr>
                <w:b/>
                <w:color w:val="0E7FA8"/>
                <w:sz w:val="19"/>
              </w:rPr>
              <w:t>laboratory/webapp/</w:t>
            </w:r>
          </w:p>
        </w:tc>
        <w:tc>
          <w:tcPr>
            <w:tcW w:type="pct" w:w="3700"/>
            <w:shd w:val="clear" w:fill="F4F8F6"/>
          </w:tcPr>
          <w:p>
            <w:pPr>
              <w:spacing w:before="20" w:after="20"/>
            </w:pPr>
            <w:r>
              <w:rPr>
                <w:color w:val="1E293B"/>
                <w:sz w:val="19"/>
              </w:rPr>
              <w:t>Vite + React dashboard for laboratory runs, metrics and 3-D plates</w:t>
            </w:r>
          </w:p>
        </w:tc>
      </w:tr>
      <w:tr>
        <w:tc>
          <w:tcPr>
            <w:tcW w:type="pct" w:w="1300"/>
          </w:tcPr>
          <w:p>
            <w:pPr>
              <w:spacing w:before="20" w:after="20"/>
            </w:pPr>
            <w:r>
              <w:rPr>
                <w:b/>
                <w:color w:val="0A9B72"/>
                <w:sz w:val="19"/>
              </w:rPr>
              <w:t>research/tinygpt_formula/</w:t>
            </w:r>
          </w:p>
        </w:tc>
        <w:tc>
          <w:tcPr>
            <w:tcW w:type="pct" w:w="3700"/>
          </w:tcPr>
          <w:p>
            <w:pPr>
              <w:spacing w:before="20" w:after="20"/>
            </w:pPr>
            <w:r>
              <w:rPr>
                <w:color w:val="1E293B"/>
                <w:sz w:val="19"/>
              </w:rPr>
              <w:t>the self-trained model track: formula corpus, TinyGPT v3 trainer, scaling ladder with control arms</w:t>
            </w:r>
          </w:p>
        </w:tc>
      </w:tr>
      <w:tr>
        <w:tc>
          <w:tcPr>
            <w:tcW w:type="pct" w:w="1300"/>
            <w:shd w:val="clear" w:fill="F4F8F6"/>
          </w:tcPr>
          <w:p>
            <w:pPr>
              <w:spacing w:before="20" w:after="20"/>
            </w:pPr>
            <w:r>
              <w:rPr>
                <w:b/>
                <w:color w:val="0E7FA8"/>
                <w:sz w:val="19"/>
              </w:rPr>
              <w:t>notebooks/</w:t>
            </w:r>
          </w:p>
        </w:tc>
        <w:tc>
          <w:tcPr>
            <w:tcW w:type="pct" w:w="3700"/>
            <w:shd w:val="clear" w:fill="F4F8F6"/>
          </w:tcPr>
          <w:p>
            <w:pPr>
              <w:spacing w:before="20" w:after="20"/>
            </w:pPr>
            <w:r>
              <w:rPr>
                <w:color w:val="1E293B"/>
                <w:sz w:val="19"/>
              </w:rPr>
              <w:t>five teaching notebooks — quickstart, TinyGPT training, generation &amp; sampling, multilingual labs, v3 modernizations</w:t>
            </w:r>
          </w:p>
        </w:tc>
      </w:tr>
      <w:tr>
        <w:tc>
          <w:tcPr>
            <w:tcW w:type="pct" w:w="1300"/>
          </w:tcPr>
          <w:p>
            <w:pPr>
              <w:spacing w:before="20" w:after="20"/>
            </w:pPr>
            <w:r>
              <w:rPr>
                <w:b/>
                <w:color w:val="0A9B72"/>
                <w:sz w:val="19"/>
              </w:rPr>
              <w:t>results/ · laboratory/*/results/</w:t>
            </w:r>
          </w:p>
        </w:tc>
        <w:tc>
          <w:tcPr>
            <w:tcW w:type="pct" w:w="3700"/>
          </w:tcPr>
          <w:p>
            <w:pPr>
              <w:spacing w:before="20" w:after="20"/>
            </w:pPr>
            <w:r>
              <w:rPr>
                <w:color w:val="1E293B"/>
                <w:sz w:val="19"/>
              </w:rPr>
              <w:t>run artefacts (TXT · MD · HTML · TeX · JSON); 181 reports in laboratory/results/reports/ alone</w:t>
            </w:r>
          </w:p>
        </w:tc>
      </w:tr>
      <w:tr>
        <w:tc>
          <w:tcPr>
            <w:tcW w:type="pct" w:w="1300"/>
            <w:shd w:val="clear" w:fill="F4F8F6"/>
          </w:tcPr>
          <w:p>
            <w:pPr>
              <w:spacing w:before="20" w:after="20"/>
            </w:pPr>
            <w:r>
              <w:rPr>
                <w:b/>
                <w:color w:val="0E7FA8"/>
                <w:sz w:val="19"/>
              </w:rPr>
              <w:t>assets/</w:t>
            </w:r>
          </w:p>
        </w:tc>
        <w:tc>
          <w:tcPr>
            <w:tcW w:type="pct" w:w="3700"/>
            <w:shd w:val="clear" w:fill="F4F8F6"/>
          </w:tcPr>
          <w:p>
            <w:pPr>
              <w:spacing w:before="20" w:after="20"/>
            </w:pPr>
            <w:r>
              <w:rPr>
                <w:color w:val="1E293B"/>
                <w:sz w:val="19"/>
              </w:rPr>
              <w:t>Black Aurora branding plus the 600-dpi chart atlas (11 plates) reproduced in this edition</w:t>
            </w:r>
          </w:p>
        </w:tc>
      </w:tr>
      <w:tr>
        <w:tc>
          <w:tcPr>
            <w:tcW w:type="pct" w:w="1300"/>
          </w:tcPr>
          <w:p>
            <w:pPr>
              <w:spacing w:before="20" w:after="20"/>
            </w:pPr>
            <w:r>
              <w:rPr>
                <w:b/>
                <w:color w:val="0A9B72"/>
                <w:sz w:val="19"/>
              </w:rPr>
              <w:t>monographs/</w:t>
            </w:r>
          </w:p>
        </w:tc>
        <w:tc>
          <w:tcPr>
            <w:tcW w:type="pct" w:w="3700"/>
          </w:tcPr>
          <w:p>
            <w:pPr>
              <w:spacing w:before="20" w:after="20"/>
            </w:pPr>
            <w:r>
              <w:rPr>
                <w:color w:val="1E293B"/>
                <w:sz w:val="19"/>
              </w:rPr>
              <w:t>this collection — M01–M06, each in English and Russian Word editions with Aurora covers</w:t>
            </w:r>
          </w:p>
        </w:tc>
      </w:tr>
      <w:tr>
        <w:tc>
          <w:tcPr>
            <w:tcW w:type="pct" w:w="1300"/>
            <w:shd w:val="clear" w:fill="F4F8F6"/>
          </w:tcPr>
          <w:p>
            <w:pPr>
              <w:spacing w:before="20" w:after="20"/>
            </w:pPr>
            <w:r>
              <w:rPr>
                <w:b/>
                <w:color w:val="0E7FA8"/>
                <w:sz w:val="19"/>
              </w:rPr>
              <w:t>papers/</w:t>
            </w:r>
          </w:p>
        </w:tc>
        <w:tc>
          <w:tcPr>
            <w:tcW w:type="pct" w:w="3700"/>
            <w:shd w:val="clear" w:fill="F4F8F6"/>
          </w:tcPr>
          <w:p>
            <w:pPr>
              <w:spacing w:before="20" w:after="20"/>
            </w:pPr>
            <w:r>
              <w:rPr>
                <w:color w:val="1E293B"/>
                <w:sz w:val="19"/>
              </w:rPr>
              <w:t>the merged PDF edition of the monograph (LLM_Analysis_Merged.pdf)</w:t>
            </w:r>
          </w:p>
        </w:tc>
      </w:tr>
      <w:tr>
        <w:tc>
          <w:tcPr>
            <w:tcW w:type="pct" w:w="1300"/>
          </w:tcPr>
          <w:p>
            <w:pPr>
              <w:spacing w:before="20" w:after="20"/>
            </w:pPr>
            <w:r>
              <w:rPr>
                <w:b/>
                <w:color w:val="0A9B72"/>
                <w:sz w:val="19"/>
              </w:rPr>
              <w:t>docs/</w:t>
            </w:r>
          </w:p>
        </w:tc>
        <w:tc>
          <w:tcPr>
            <w:tcW w:type="pct" w:w="3700"/>
          </w:tcPr>
          <w:p>
            <w:pPr>
              <w:spacing w:before="20" w:after="20"/>
            </w:pPr>
            <w:r>
              <w:rPr>
                <w:color w:val="1E293B"/>
                <w:sz w:val="19"/>
              </w:rPr>
              <w:t>MkDocs Material site sources, tutorials and the 2026 roadmap</w:t>
            </w:r>
          </w:p>
        </w:tc>
      </w:tr>
    </w:tbl>
    <w:p>
      <w:pPr>
        <w:spacing w:after="40"/>
      </w:pPr>
    </w:p>
    <w:p>
      <w:pPr>
        <w:spacing w:after="120" w:line="300" w:lineRule="auto"/>
        <w:jc w:val="both"/>
      </w:pPr>
      <w:r>
        <w:rPr>
          <w:i w:val="0"/>
          <w:color w:val="1E293B"/>
          <w:sz w:val="22"/>
        </w:rPr>
        <w:t>The notebook track is the gentlest entry point and doubles as a scripted version of this monograph's experiments; the five notebooks run top to bottom without modification and end at the same v3 pipeline the laboratories use. For readers who prefer a browser, the webapp dashboard renders the same artefacts interactively.</w:t>
      </w:r>
    </w:p>
    <w:p>
      <w:pPr>
        <w:spacing w:after="60" w:line="288" w:lineRule="auto"/>
        <w:ind w:left="320"/>
      </w:pPr>
      <w:r>
        <w:rPr>
          <w:b/>
          <w:color w:val="0A9B72"/>
          <w:sz w:val="21"/>
        </w:rPr>
        <w:t xml:space="preserve">— </w:t>
      </w:r>
      <w:r>
        <w:rPr>
          <w:color w:val="1E293B"/>
          <w:sz w:val="21"/>
        </w:rPr>
        <w:t>01_quickstart.ipynb — from pip install to the first MP plot</w:t>
      </w:r>
    </w:p>
    <w:p>
      <w:pPr>
        <w:spacing w:after="60" w:line="288" w:lineRule="auto"/>
        <w:ind w:left="320"/>
      </w:pPr>
      <w:r>
        <w:rPr>
          <w:b/>
          <w:color w:val="0A9B72"/>
          <w:sz w:val="21"/>
        </w:rPr>
        <w:t xml:space="preserve">— </w:t>
      </w:r>
      <w:r>
        <w:rPr>
          <w:color w:val="1E293B"/>
          <w:sz w:val="21"/>
        </w:rPr>
        <w:t>02_training_tinygpt.ipynb — training the self-contained subject model</w:t>
      </w:r>
    </w:p>
    <w:p>
      <w:pPr>
        <w:spacing w:after="60" w:line="288" w:lineRule="auto"/>
        <w:ind w:left="320"/>
      </w:pPr>
      <w:r>
        <w:rPr>
          <w:b/>
          <w:color w:val="0A9B72"/>
          <w:sz w:val="21"/>
        </w:rPr>
        <w:t xml:space="preserve">— </w:t>
      </w:r>
      <w:r>
        <w:rPr>
          <w:color w:val="1E293B"/>
          <w:sz w:val="21"/>
        </w:rPr>
        <w:t>03_generation_and_sampling.ipynb — sampling modes and their spectral traces</w:t>
      </w:r>
    </w:p>
    <w:p>
      <w:pPr>
        <w:spacing w:after="60" w:line="288" w:lineRule="auto"/>
        <w:ind w:left="320"/>
      </w:pPr>
      <w:r>
        <w:rPr>
          <w:b/>
          <w:color w:val="0A9B72"/>
          <w:sz w:val="21"/>
        </w:rPr>
        <w:t xml:space="preserve">— </w:t>
      </w:r>
      <w:r>
        <w:rPr>
          <w:color w:val="1E293B"/>
          <w:sz w:val="21"/>
        </w:rPr>
        <w:t>04_multilingual_labs.ipynb — the seven-language laboratory in action</w:t>
      </w:r>
    </w:p>
    <w:p>
      <w:pPr>
        <w:spacing w:after="60" w:line="288" w:lineRule="auto"/>
        <w:ind w:left="320"/>
      </w:pPr>
      <w:r>
        <w:rPr>
          <w:b/>
          <w:color w:val="0A9B72"/>
          <w:sz w:val="21"/>
        </w:rPr>
        <w:t xml:space="preserve">— </w:t>
      </w:r>
      <w:r>
        <w:rPr>
          <w:color w:val="1E293B"/>
          <w:sz w:val="21"/>
        </w:rPr>
        <w:t>05_tinygpt_v3_modernizations.ipynb — the v3 trainer, tokenizer and corpus upgrades</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color="0A9B72"/>
      </w:pBdr>
    </w:pPr>
    <w:r>
      <w:rPr>
        <w:color w:val="64748B"/>
        <w:sz w:val="16"/>
      </w:rPr>
      <w:t xml:space="preserve">RMT × LLM Research — Aurora edition · M06 · Inevitable Hallucinations  ·  </w:t>
    </w:r>
    <w:fldSimple w:instr=" PAGE \* arabic \* MERGEFORMAT ">
      <w:r>
        <w:rPr>
          <w:sz w:val="16"/>
          <w:color w:val="64748B"/>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A9B7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E7FA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D5BD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C2418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Iskhak Hamzatovich Isaev</dc:creator>
  <cp:keywords/>
  <dc:description>generated by python-docx</dc:description>
  <cp:lastModifiedBy/>
  <cp:revision>1</cp:revision>
  <dcterms:created xsi:type="dcterms:W3CDTF">2013-12-23T23:15:00Z</dcterms:created>
  <dcterms:modified xsi:type="dcterms:W3CDTF">2013-12-23T23:15:00Z</dcterms:modified>
  <cp:category/>
</cp:coreProperties>
</file>