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12" w:lineRule="auto"/>
      </w:pPr>
      <w:r>
        <w:rPr>
          <w:rFonts w:ascii="Calibri" w:hAnsi="Calibri"/>
          <w:color w:val="646464"/>
          <w:sz w:val="28"/>
        </w:rPr>
        <w:t>— ✦ —</w:t>
      </w:r>
    </w:p>
    <w:p>
      <w:pPr>
        <w:jc w:val="center"/>
        <w:spacing w:line="312" w:lineRule="auto"/>
      </w:pPr>
      <w:r>
        <w:rPr>
          <w:rFonts w:ascii="Calibri" w:hAnsi="Calibri"/>
          <w:b/>
          <w:color w:val="003366"/>
          <w:sz w:val="48"/>
        </w:rPr>
        <w:t>RANDOM MATRIX THEORY</w:t>
        <w:br/>
        <w:t>AND ACTIVATIONS OF LARGE LANGUAGE MODELS</w:t>
      </w:r>
    </w:p>
    <w:p>
      <w:pPr>
        <w:jc w:val="center"/>
        <w:spacing w:line="312" w:lineRule="auto"/>
      </w:pPr>
      <w:r>
        <w:rPr>
          <w:rFonts w:ascii="Calibri" w:hAnsi="Calibri"/>
          <w:color w:val="646464"/>
          <w:sz w:val="28"/>
        </w:rPr>
        <w:t>━━━━━━━━━━━━━━━━━━━━━━━━━━━</w:t>
      </w:r>
    </w:p>
    <w:p>
      <w:pPr>
        <w:jc w:val="center"/>
        <w:spacing w:line="312" w:lineRule="auto"/>
      </w:pPr>
      <w:r>
        <w:rPr>
          <w:rFonts w:ascii="Calibri" w:hAnsi="Calibri"/>
          <w:i/>
          <w:color w:val="505050"/>
          <w:sz w:val="32"/>
        </w:rPr>
        <w:t>Spectral Analysis for Distinguishing</w:t>
        <w:br/>
        <w:t>Factual and Creative Generation</w:t>
      </w:r>
    </w:p>
    <w:p>
      <w:pPr>
        <w:jc w:val="center"/>
        <w:spacing w:line="312" w:lineRule="auto"/>
      </w:pPr>
      <w:r>
        <w:rPr>
          <w:rFonts w:ascii="Calibri" w:hAnsi="Calibri"/>
          <w:color w:val="646464"/>
          <w:sz w:val="28"/>
        </w:rPr>
        <w:t>— ✦ —</w:t>
      </w:r>
    </w:p>
    <w:p>
      <w:pPr>
        <w:spacing w:line="312" w:lineRule="auto"/>
      </w:pPr>
      <w:r>
        <w:rPr>
          <w:rFonts w:ascii="Calibri" w:hAnsi="Calibri"/>
          <w:sz w:val="22"/>
        </w:rPr>
        <w:t>Research Monograph · 2026</w:t>
      </w:r>
    </w:p>
    <w:p>
      <w:pPr>
        <w:jc w:val="center"/>
      </w:pPr>
      <w:r>
        <w:rPr>
          <w:b/>
          <w:sz w:val="28"/>
        </w:rPr>
        <w:t>Iskhak Hamzatovich Isaev</w:t>
      </w:r>
    </w:p>
    <w:p>
      <w:pPr>
        <w:pStyle w:val="Heading2"/>
        <w:spacing w:line="312" w:lineRule="auto"/>
      </w:pPr>
      <w:r>
        <w:t>ABSTRACT</w:t>
      </w:r>
    </w:p>
    <w:p>
      <w:pPr>
        <w:spacing w:line="312" w:lineRule="auto"/>
      </w:pPr>
      <w:r>
        <w:rPr>
          <w:rFonts w:ascii="Calibri" w:hAnsi="Calibri"/>
          <w:sz w:val="22"/>
        </w:rPr>
        <w:t>This monograph is devoted to a systematic investigation of the applicability of random matrix theory (RMT) to the analysis of activations of large language models (LLMs). The work develops an original methodology for the spectral analysis of activation covariance matrices, enabling quantitative distinction between factual and creative text generation modes. The foundation of the method consists in comparing the observed eigenvalue spectrum with theoretical predictions of the Marchenko-Pastur law, as well as analyzing the Baik-Ben Arous-Péché (BBP) phase transition, the Tracy-Widom distribution, and the inverse participation ratio (IPR).</w:t>
      </w:r>
    </w:p>
    <w:p>
      <w:pPr>
        <w:spacing w:line="312" w:lineRule="auto"/>
      </w:pPr>
      <w:r>
        <w:rPr>
          <w:rFonts w:ascii="Calibri" w:hAnsi="Calibri"/>
          <w:sz w:val="22"/>
        </w:rPr>
        <w:t>A thermodynamic analogy is proposed in which factual generation is interpreted as a "bound state" with low spectral entropy, while creative generation is interpreted as a "gaseous phase" with high spectral entropy and delocalized eigenvectors. A free energy F = U − T·S_spec is introduced, whose minima correspond to stable generation modes. It is shown that the renormalization group (RG) across transformer layers describes the flow between phases, and the RG beta function determines the critical transition points.</w:t>
      </w:r>
    </w:p>
    <w:p>
      <w:pPr>
        <w:spacing w:line="312" w:lineRule="auto"/>
      </w:pPr>
      <w:r>
        <w:rPr>
          <w:rFonts w:ascii="Calibri" w:hAnsi="Calibri"/>
          <w:sz w:val="22"/>
        </w:rPr>
        <w:t>Experimental verification was conducted on the GPT-2 model with activation extraction from all transformer layers. The results of temperature scanning, cross-layer analysis, and prompt length dependence studies confirm the predictions of the theoretical model. The obtained metrics — SNR, spectral entropy, IPR, and spacing ratio — demonstrate a statistically significant difference between generation modes, which opens up possibilities for creating reliable hallucination detectors and controlling the quality of LLM generation.</w:t>
      </w:r>
    </w:p>
    <w:p>
      <w:pPr>
        <w:spacing w:line="312" w:lineRule="auto"/>
      </w:pPr>
      <w:r>
        <w:rPr>
          <w:rFonts w:ascii="Calibri" w:hAnsi="Calibri"/>
          <w:i/>
          <w:sz w:val="20"/>
        </w:rPr>
        <w:t>Keywords: random matrix theory, large language models, spectral analysis, Marchenko-Pastur law, BBP phase transition, Tracy-Widom distribution, inverse participation ratio, spectral entropy, free energy, renormalization group, hallucinations, neural network activations.</w:t>
      </w:r>
    </w:p>
    <w:p>
      <w:pPr>
        <w:pStyle w:val="Heading2"/>
        <w:spacing w:line="312" w:lineRule="auto"/>
      </w:pPr>
      <w:r>
        <w:t>TABLE OF CONTENTS</w:t>
      </w:r>
    </w:p>
    <w:p>
      <w:pPr>
        <w:spacing w:line="312" w:lineRule="auto"/>
      </w:pPr>
      <w:r>
        <w:rPr>
          <w:rFonts w:ascii="Calibri" w:hAnsi="Calibri"/>
          <w:sz w:val="22"/>
        </w:rPr>
        <w:t>Introduction</w:t>
        <w:tab/>
        <w:t>1</w:t>
      </w:r>
    </w:p>
    <w:p>
      <w:pPr>
        <w:spacing w:line="312" w:lineRule="auto"/>
      </w:pPr>
      <w:r>
        <w:rPr>
          <w:rFonts w:ascii="Calibri" w:hAnsi="Calibri"/>
          <w:sz w:val="22"/>
        </w:rPr>
        <w:t>1.1 Relevance of the Study</w:t>
        <w:tab/>
        <w:t>1</w:t>
      </w:r>
    </w:p>
    <w:p>
      <w:pPr>
        <w:spacing w:line="312" w:lineRule="auto"/>
      </w:pPr>
      <w:r>
        <w:rPr>
          <w:rFonts w:ascii="Calibri" w:hAnsi="Calibri"/>
          <w:sz w:val="22"/>
        </w:rPr>
        <w:t>1.2 Problem Statement</w:t>
        <w:tab/>
        <w:t>2</w:t>
      </w:r>
    </w:p>
    <w:p>
      <w:pPr>
        <w:spacing w:line="312" w:lineRule="auto"/>
      </w:pPr>
      <w:r>
        <w:rPr>
          <w:rFonts w:ascii="Calibri" w:hAnsi="Calibri"/>
          <w:sz w:val="22"/>
        </w:rPr>
        <w:t>1.3 Goals and Objectives of the Study</w:t>
        <w:tab/>
        <w:t>3</w:t>
      </w:r>
    </w:p>
    <w:p>
      <w:pPr>
        <w:spacing w:line="312" w:lineRule="auto"/>
      </w:pPr>
      <w:r>
        <w:rPr>
          <w:rFonts w:ascii="Calibri" w:hAnsi="Calibri"/>
          <w:sz w:val="22"/>
        </w:rPr>
        <w:t>1.4 Scientific Novelty</w:t>
        <w:tab/>
        <w:t>4</w:t>
      </w:r>
    </w:p>
    <w:p>
      <w:pPr>
        <w:spacing w:line="312" w:lineRule="auto"/>
      </w:pPr>
      <w:r>
        <w:rPr>
          <w:rFonts w:ascii="Calibri" w:hAnsi="Calibri"/>
          <w:sz w:val="22"/>
        </w:rPr>
        <w:t>1.5 Structure of the Work</w:t>
        <w:tab/>
        <w:t>5</w:t>
      </w:r>
    </w:p>
    <w:p>
      <w:pPr>
        <w:spacing w:line="312" w:lineRule="auto"/>
      </w:pPr>
      <w:r>
        <w:rPr>
          <w:rFonts w:ascii="Calibri" w:hAnsi="Calibri"/>
          <w:sz w:val="22"/>
        </w:rPr>
        <w:t>Theoretical Foundations of Random Matrix Theory</w:t>
        <w:tab/>
        <w:t>6</w:t>
      </w:r>
    </w:p>
    <w:p>
      <w:pPr>
        <w:spacing w:line="312" w:lineRule="auto"/>
      </w:pPr>
      <w:r>
        <w:rPr>
          <w:rFonts w:ascii="Calibri" w:hAnsi="Calibri"/>
          <w:sz w:val="22"/>
        </w:rPr>
        <w:t>2.1 Historical Overview and Basic Concepts</w:t>
        <w:tab/>
        <w:t>6</w:t>
      </w:r>
    </w:p>
    <w:p>
      <w:pPr>
        <w:spacing w:line="312" w:lineRule="auto"/>
      </w:pPr>
      <w:r>
        <w:rPr>
          <w:rFonts w:ascii="Calibri" w:hAnsi="Calibri"/>
          <w:sz w:val="22"/>
        </w:rPr>
        <w:t>2.2 Marchenko-Pastur Law</w:t>
        <w:tab/>
        <w:t>8</w:t>
      </w:r>
    </w:p>
    <w:p>
      <w:pPr>
        <w:spacing w:line="312" w:lineRule="auto"/>
      </w:pPr>
      <w:r>
        <w:rPr>
          <w:rFonts w:ascii="Calibri" w:hAnsi="Calibri"/>
          <w:sz w:val="22"/>
        </w:rPr>
        <w:t>2.3 Baik-Ben Arous-Péché Phase Transition</w:t>
        <w:tab/>
        <w:t>10</w:t>
      </w:r>
    </w:p>
    <w:p>
      <w:pPr>
        <w:spacing w:line="312" w:lineRule="auto"/>
      </w:pPr>
      <w:r>
        <w:rPr>
          <w:rFonts w:ascii="Calibri" w:hAnsi="Calibri"/>
          <w:sz w:val="22"/>
        </w:rPr>
        <w:t>2.4 Tracy-Widom Distribution</w:t>
        <w:tab/>
        <w:t>12</w:t>
      </w:r>
    </w:p>
    <w:p>
      <w:pPr>
        <w:spacing w:line="312" w:lineRule="auto"/>
      </w:pPr>
      <w:r>
        <w:rPr>
          <w:rFonts w:ascii="Calibri" w:hAnsi="Calibri"/>
          <w:sz w:val="22"/>
        </w:rPr>
        <w:t>2.5 Spectral Form Factor and Spacing Ratio</w:t>
        <w:tab/>
        <w:t>13</w:t>
      </w:r>
    </w:p>
    <w:p>
      <w:pPr>
        <w:spacing w:line="312" w:lineRule="auto"/>
      </w:pPr>
      <w:r>
        <w:rPr>
          <w:rFonts w:ascii="Calibri" w:hAnsi="Calibri"/>
          <w:sz w:val="22"/>
        </w:rPr>
        <w:t>2.6 Inverse Participation Ratio</w:t>
        <w:tab/>
        <w:t>15</w:t>
      </w:r>
    </w:p>
    <w:p>
      <w:pPr>
        <w:spacing w:line="312" w:lineRule="auto"/>
      </w:pPr>
      <w:r>
        <w:rPr>
          <w:rFonts w:ascii="Calibri" w:hAnsi="Calibri"/>
          <w:sz w:val="22"/>
        </w:rPr>
        <w:t>LLM Architecture and Activation Extraction</w:t>
        <w:tab/>
        <w:t>17</w:t>
      </w:r>
    </w:p>
    <w:p>
      <w:pPr>
        <w:spacing w:line="312" w:lineRule="auto"/>
      </w:pPr>
      <w:r>
        <w:rPr>
          <w:rFonts w:ascii="Calibri" w:hAnsi="Calibri"/>
          <w:sz w:val="22"/>
        </w:rPr>
        <w:t>3.1 Transformer Architecture and Attention Mechanism</w:t>
        <w:tab/>
        <w:t>17</w:t>
      </w:r>
    </w:p>
    <w:p>
      <w:pPr>
        <w:spacing w:line="312" w:lineRule="auto"/>
      </w:pPr>
      <w:r>
        <w:rPr>
          <w:rFonts w:ascii="Calibri" w:hAnsi="Calibri"/>
          <w:sz w:val="22"/>
        </w:rPr>
        <w:t>3.2 Activation Extraction from GPT-2</w:t>
        <w:tab/>
        <w:t>19</w:t>
      </w:r>
    </w:p>
    <w:p>
      <w:pPr>
        <w:spacing w:line="312" w:lineRule="auto"/>
      </w:pPr>
      <w:r>
        <w:rPr>
          <w:rFonts w:ascii="Calibri" w:hAnsi="Calibri"/>
          <w:sz w:val="22"/>
        </w:rPr>
        <w:t>3.3 Formation of Activation Covariance Matrices</w:t>
        <w:tab/>
        <w:t>20</w:t>
      </w:r>
    </w:p>
    <w:p>
      <w:pPr>
        <w:spacing w:line="312" w:lineRule="auto"/>
      </w:pPr>
      <w:r>
        <w:rPr>
          <w:rFonts w:ascii="Calibri" w:hAnsi="Calibri"/>
          <w:sz w:val="22"/>
        </w:rPr>
        <w:t>3.4 Data Preprocessing and Normalization</w:t>
        <w:tab/>
        <w:t>22</w:t>
      </w:r>
    </w:p>
    <w:p>
      <w:pPr>
        <w:spacing w:line="312" w:lineRule="auto"/>
      </w:pPr>
      <w:r>
        <w:rPr>
          <w:rFonts w:ascii="Calibri" w:hAnsi="Calibri"/>
          <w:sz w:val="22"/>
        </w:rPr>
        <w:t>Spectral Analysis Methodology</w:t>
        <w:tab/>
        <w:t>24</w:t>
      </w:r>
    </w:p>
    <w:p>
      <w:pPr>
        <w:spacing w:line="312" w:lineRule="auto"/>
      </w:pPr>
      <w:r>
        <w:rPr>
          <w:rFonts w:ascii="Calibri" w:hAnsi="Calibri"/>
          <w:sz w:val="22"/>
        </w:rPr>
        <w:t>4.1 The advanced_spectral_analysis Function</w:t>
        <w:tab/>
        <w:t>24</w:t>
      </w:r>
    </w:p>
    <w:p>
      <w:pPr>
        <w:spacing w:line="312" w:lineRule="auto"/>
      </w:pPr>
      <w:r>
        <w:rPr>
          <w:rFonts w:ascii="Calibri" w:hAnsi="Calibri"/>
          <w:sz w:val="22"/>
        </w:rPr>
        <w:t>4.2 Eigenvalue Density Visualization</w:t>
        <w:tab/>
        <w:t>26</w:t>
      </w:r>
    </w:p>
    <w:p>
      <w:pPr>
        <w:spacing w:line="312" w:lineRule="auto"/>
      </w:pPr>
      <w:r>
        <w:rPr>
          <w:rFonts w:ascii="Calibri" w:hAnsi="Calibri"/>
          <w:sz w:val="22"/>
        </w:rPr>
        <w:t>4.3 Spectral Analysis Metrics</w:t>
        <w:tab/>
        <w:t>28</w:t>
      </w:r>
    </w:p>
    <w:p>
      <w:pPr>
        <w:spacing w:line="312" w:lineRule="auto"/>
      </w:pPr>
      <w:r>
        <w:rPr>
          <w:rFonts w:ascii="Calibri" w:hAnsi="Calibri"/>
          <w:sz w:val="22"/>
        </w:rPr>
        <w:t>4.4 Statistical Significance and Threshold Values</w:t>
        <w:tab/>
        <w:t>30</w:t>
      </w:r>
    </w:p>
    <w:p>
      <w:pPr>
        <w:spacing w:line="312" w:lineRule="auto"/>
      </w:pPr>
      <w:r>
        <w:rPr>
          <w:rFonts w:ascii="Calibri" w:hAnsi="Calibri"/>
          <w:sz w:val="22"/>
        </w:rPr>
        <w:t>Free Energy Model and Generation Modes</w:t>
        <w:tab/>
        <w:t>32</w:t>
      </w:r>
    </w:p>
    <w:p>
      <w:pPr>
        <w:spacing w:line="312" w:lineRule="auto"/>
      </w:pPr>
      <w:r>
        <w:rPr>
          <w:rFonts w:ascii="Calibri" w:hAnsi="Calibri"/>
          <w:sz w:val="22"/>
        </w:rPr>
        <w:t>5.1 Thermodynamic Analogy</w:t>
        <w:tab/>
        <w:t>32</w:t>
      </w:r>
    </w:p>
    <w:p>
      <w:pPr>
        <w:spacing w:line="312" w:lineRule="auto"/>
      </w:pPr>
      <w:r>
        <w:rPr>
          <w:rFonts w:ascii="Calibri" w:hAnsi="Calibri"/>
          <w:sz w:val="22"/>
        </w:rPr>
        <w:t>5.2 Factual Generation as a Bound State</w:t>
        <w:tab/>
        <w:t>34</w:t>
      </w:r>
    </w:p>
    <w:p>
      <w:pPr>
        <w:spacing w:line="312" w:lineRule="auto"/>
      </w:pPr>
      <w:r>
        <w:rPr>
          <w:rFonts w:ascii="Calibri" w:hAnsi="Calibri"/>
          <w:sz w:val="22"/>
        </w:rPr>
        <w:t>5.3 Creative Generation as a Gaseous Phase</w:t>
        <w:tab/>
        <w:t>36</w:t>
      </w:r>
    </w:p>
    <w:p>
      <w:pPr>
        <w:spacing w:line="312" w:lineRule="auto"/>
      </w:pPr>
      <w:r>
        <w:rPr>
          <w:rFonts w:ascii="Calibri" w:hAnsi="Calibri"/>
          <w:sz w:val="22"/>
        </w:rPr>
        <w:t>5.4 Renormalization Group and Layer Flow</w:t>
        <w:tab/>
        <w:t>38</w:t>
      </w:r>
    </w:p>
    <w:p>
      <w:pPr>
        <w:spacing w:line="312" w:lineRule="auto"/>
      </w:pPr>
      <w:r>
        <w:rPr>
          <w:rFonts w:ascii="Calibri" w:hAnsi="Calibri"/>
          <w:sz w:val="22"/>
        </w:rPr>
        <w:t>5.5 Information-Theoretic Interpretation</w:t>
        <w:tab/>
        <w:t>40</w:t>
      </w:r>
    </w:p>
    <w:p>
      <w:pPr>
        <w:spacing w:line="312" w:lineRule="auto"/>
      </w:pPr>
      <w:r>
        <w:rPr>
          <w:rFonts w:ascii="Calibri" w:hAnsi="Calibri"/>
          <w:sz w:val="22"/>
        </w:rPr>
        <w:t>Experimental Results</w:t>
        <w:tab/>
        <w:t>42</w:t>
      </w:r>
    </w:p>
    <w:p>
      <w:pPr>
        <w:spacing w:line="312" w:lineRule="auto"/>
      </w:pPr>
      <w:r>
        <w:rPr>
          <w:rFonts w:ascii="Calibri" w:hAnsi="Calibri"/>
          <w:sz w:val="22"/>
        </w:rPr>
        <w:t>6.1 Temperature Scanning</w:t>
        <w:tab/>
        <w:t>42</w:t>
      </w:r>
    </w:p>
    <w:p>
      <w:pPr>
        <w:spacing w:line="312" w:lineRule="auto"/>
      </w:pPr>
      <w:r>
        <w:rPr>
          <w:rFonts w:ascii="Calibri" w:hAnsi="Calibri"/>
          <w:sz w:val="22"/>
        </w:rPr>
        <w:t>6.2 Cross-Layer Transfer</w:t>
        <w:tab/>
        <w:t>44</w:t>
      </w:r>
    </w:p>
    <w:p>
      <w:pPr>
        <w:spacing w:line="312" w:lineRule="auto"/>
      </w:pPr>
      <w:r>
        <w:rPr>
          <w:rFonts w:ascii="Calibri" w:hAnsi="Calibri"/>
          <w:sz w:val="22"/>
        </w:rPr>
        <w:t>6.3 Prompt Length Dependence</w:t>
        <w:tab/>
        <w:t>46</w:t>
      </w:r>
    </w:p>
    <w:p>
      <w:pPr>
        <w:spacing w:line="312" w:lineRule="auto"/>
      </w:pPr>
      <w:r>
        <w:rPr>
          <w:rFonts w:ascii="Calibri" w:hAnsi="Calibri"/>
          <w:sz w:val="22"/>
        </w:rPr>
        <w:t>6.4 Summary Table of Results</w:t>
        <w:tab/>
        <w:t>48</w:t>
      </w:r>
    </w:p>
    <w:p>
      <w:pPr>
        <w:spacing w:line="312" w:lineRule="auto"/>
      </w:pPr>
      <w:r>
        <w:rPr>
          <w:rFonts w:ascii="Calibri" w:hAnsi="Calibri"/>
          <w:sz w:val="22"/>
        </w:rPr>
        <w:t>Discussion</w:t>
        <w:tab/>
        <w:t>50</w:t>
      </w:r>
    </w:p>
    <w:p>
      <w:pPr>
        <w:spacing w:line="312" w:lineRule="auto"/>
      </w:pPr>
      <w:r>
        <w:rPr>
          <w:rFonts w:ascii="Calibri" w:hAnsi="Calibri"/>
          <w:sz w:val="22"/>
        </w:rPr>
        <w:t>7.1 Interpretation of Results</w:t>
        <w:tab/>
        <w:t>50</w:t>
      </w:r>
    </w:p>
    <w:p>
      <w:pPr>
        <w:spacing w:line="312" w:lineRule="auto"/>
      </w:pPr>
      <w:r>
        <w:rPr>
          <w:rFonts w:ascii="Calibri" w:hAnsi="Calibri"/>
          <w:sz w:val="22"/>
        </w:rPr>
        <w:t>7.2 Comparison with Existing Approaches</w:t>
        <w:tab/>
        <w:t>52</w:t>
      </w:r>
    </w:p>
    <w:p>
      <w:pPr>
        <w:spacing w:line="312" w:lineRule="auto"/>
      </w:pPr>
      <w:r>
        <w:rPr>
          <w:rFonts w:ascii="Calibri" w:hAnsi="Calibri"/>
          <w:sz w:val="22"/>
        </w:rPr>
        <w:t>7.3 Limitations of the Method</w:t>
        <w:tab/>
        <w:t>54</w:t>
      </w:r>
    </w:p>
    <w:p>
      <w:pPr>
        <w:spacing w:line="312" w:lineRule="auto"/>
      </w:pPr>
      <w:r>
        <w:rPr>
          <w:rFonts w:ascii="Calibri" w:hAnsi="Calibri"/>
          <w:sz w:val="22"/>
        </w:rPr>
        <w:t>Conclusion and Perspectives</w:t>
        <w:tab/>
        <w:t>56</w:t>
      </w:r>
    </w:p>
    <w:p>
      <w:pPr>
        <w:spacing w:line="312" w:lineRule="auto"/>
      </w:pPr>
      <w:r>
        <w:rPr>
          <w:rFonts w:ascii="Calibri" w:hAnsi="Calibri"/>
          <w:sz w:val="22"/>
        </w:rPr>
        <w:t>8.1 Main Conclusions</w:t>
        <w:tab/>
        <w:t>56</w:t>
      </w:r>
    </w:p>
    <w:p>
      <w:pPr>
        <w:spacing w:line="312" w:lineRule="auto"/>
      </w:pPr>
      <w:r>
        <w:rPr>
          <w:rFonts w:ascii="Calibri" w:hAnsi="Calibri"/>
          <w:sz w:val="22"/>
        </w:rPr>
        <w:t>8.2 Scientific Contribution</w:t>
        <w:tab/>
        <w:t>57</w:t>
      </w:r>
    </w:p>
    <w:p>
      <w:pPr>
        <w:spacing w:line="312" w:lineRule="auto"/>
      </w:pPr>
      <w:r>
        <w:rPr>
          <w:rFonts w:ascii="Calibri" w:hAnsi="Calibri"/>
          <w:sz w:val="22"/>
        </w:rPr>
        <w:t>8.3 Directions for Future Research</w:t>
        <w:tab/>
        <w:t>58</w:t>
      </w:r>
    </w:p>
    <w:p>
      <w:pPr>
        <w:spacing w:line="312" w:lineRule="auto"/>
      </w:pPr>
      <w:r>
        <w:rPr>
          <w:rFonts w:ascii="Calibri" w:hAnsi="Calibri"/>
          <w:sz w:val="22"/>
        </w:rPr>
        <w:t>Appendix A: Activation Extraction Code</w:t>
        <w:tab/>
        <w:t>59</w:t>
      </w:r>
    </w:p>
    <w:p>
      <w:pPr>
        <w:spacing w:line="312" w:lineRule="auto"/>
      </w:pPr>
      <w:r>
        <w:rPr>
          <w:rFonts w:ascii="Calibri" w:hAnsi="Calibri"/>
          <w:sz w:val="22"/>
        </w:rPr>
        <w:t>Appendix B: Mathematical Details</w:t>
        <w:tab/>
        <w:t>62</w:t>
      </w:r>
    </w:p>
    <w:p>
      <w:pPr>
        <w:spacing w:line="312" w:lineRule="auto"/>
      </w:pPr>
      <w:r>
        <w:rPr>
          <w:rFonts w:ascii="Calibri" w:hAnsi="Calibri"/>
          <w:sz w:val="22"/>
        </w:rPr>
        <w:t>Appendix C: Additional Experiments</w:t>
        <w:tab/>
        <w:t>65</w:t>
      </w:r>
    </w:p>
    <w:p>
      <w:pPr>
        <w:spacing w:line="312" w:lineRule="auto"/>
      </w:pPr>
      <w:r>
        <w:rPr>
          <w:rFonts w:ascii="Calibri" w:hAnsi="Calibri"/>
          <w:sz w:val="22"/>
        </w:rPr>
        <w:t>References</w:t>
        <w:tab/>
        <w:t>68</w:t>
      </w:r>
    </w:p>
    <w:p>
      <w:pPr>
        <w:jc w:val="center"/>
        <w:spacing w:line="312" w:lineRule="auto"/>
      </w:pPr>
      <w:r>
        <w:rPr>
          <w:rFonts w:ascii="Calibri" w:hAnsi="Calibri"/>
          <w:color w:val="646464"/>
          <w:sz w:val="28"/>
        </w:rPr>
        <w:t>◆  ◆  ◆</w:t>
      </w:r>
    </w:p>
    <w:p>
      <w:pPr>
        <w:pStyle w:val="Heading1"/>
        <w:spacing w:line="312" w:lineRule="auto"/>
      </w:pPr>
      <w:r>
        <w:t>CHAPTER 1. INTRODUCTION</w:t>
      </w:r>
    </w:p>
    <w:p>
      <w:pPr>
        <w:pStyle w:val="Heading2"/>
        <w:spacing w:line="312" w:lineRule="auto"/>
      </w:pPr>
      <w:r>
        <w:t>1.1 Relevance of the Study</w:t>
      </w:r>
    </w:p>
    <w:p>
      <w:pPr>
        <w:spacing w:line="312" w:lineRule="auto"/>
      </w:pPr>
      <w:r>
        <w:rPr>
          <w:rFonts w:ascii="Calibri" w:hAnsi="Calibri"/>
          <w:sz w:val="22"/>
        </w:rPr>
        <w:t>The rapid development of large language models (LLMs), such as GPT-4, LLaMA, Claude, and their derivatives, has led to a revolution in the field of natural language processing. These models demonstrate remarkable abilities in generating coherent text, translation, summarization, and solving logical problems. However, alongside these undeniable achievements, a fundamental problem arises: LLMs are prone to generating factually incorrect content, so-called "hallucinations," which may appear externally plausible but do not correspond to reality. This problem becomes particularly acute in critical applications — medical diagnosis, legal consulting, financial analysis — where generation errors can have serious consequences.</w:t>
      </w:r>
    </w:p>
    <w:p>
      <w:pPr>
        <w:spacing w:line="312" w:lineRule="auto"/>
      </w:pPr>
      <w:r>
        <w:rPr>
          <w:rFonts w:ascii="Calibri" w:hAnsi="Calibri"/>
          <w:sz w:val="22"/>
        </w:rPr>
        <w:t>Existing methods for detecting hallucinations, based on output text analysis, probabilistic metrics, or external verification, have a number of limitations. They typically operate post hoc, require additional computational resources, and are not always able to detect subtle forms of factual errors. In this regard, there arises a need for a fundamentally new approach that would allow analyzing the internal representations of the model during generation and identifying spectral features that distinguish factual generation from creative generation.</w:t>
      </w:r>
    </w:p>
    <w:p>
      <w:pPr>
        <w:spacing w:line="312" w:lineRule="auto"/>
      </w:pPr>
      <w:r>
        <w:rPr>
          <w:rFonts w:ascii="Calibri" w:hAnsi="Calibri"/>
          <w:sz w:val="22"/>
        </w:rPr>
        <w:t>Random matrix theory (RMT), originally developed to describe the spectra of heavy atomic nuclei by Eugene Wigner in the 1950s, represents a powerful mathematical apparatus for analyzing the statistical properties of spectra of large matrices. Over the past decades, RMT has found applications in diverse fields — from quantum chaos and number theory to financial mathematics and neuroscience. The Marchenko-Pastur law, the BBP phase transition, and the Tracy-Widom distribution provide universal predictions that do not depend on the details of the specific system, making RMT an ideal tool for analyzing neural network activations.</w:t>
      </w:r>
    </w:p>
    <w:p>
      <w:pPr>
        <w:spacing w:line="312" w:lineRule="auto"/>
      </w:pPr>
      <w:r>
        <w:rPr>
          <w:rFonts w:ascii="Calibri" w:hAnsi="Calibri"/>
          <w:sz w:val="22"/>
        </w:rPr>
        <w:t>The present study lies at the intersection of two actively developing fields: random matrix theory and the interpretability of large language models. The application of RMT methods to the analysis of LLM activations opens up fundamentally new possibilities for understanding the internal mechanisms of generation and creating reliable tools for controlling the quality of output text.</w:t>
      </w:r>
    </w:p>
    <w:p>
      <w:pPr>
        <w:pStyle w:val="Heading2"/>
        <w:spacing w:line="312" w:lineRule="auto"/>
      </w:pPr>
      <w:r>
        <w:t>1.2 Problem Statement</w:t>
      </w:r>
    </w:p>
    <w:p>
      <w:pPr>
        <w:spacing w:line="312" w:lineRule="auto"/>
      </w:pPr>
      <w:r>
        <w:rPr>
          <w:rFonts w:ascii="Calibri" w:hAnsi="Calibri"/>
          <w:sz w:val="22"/>
        </w:rPr>
        <w:t>The central problem addressed in this work can be formulated as follows: is there a qualitative and quantitative difference in the spectral properties of the covariance matrices of LLM activations that allows one to reliably distinguish between factual (reliable) and creative (potentially unreliable) generation modes? In this context, "factual generation" refers to text generation based on retrieval-like mechanisms for extracting knowledge from model weights, whereas "creative generation" refers to generation relying on interpolation and combinatorial rearrangement of learned patterns.</w:t>
      </w:r>
    </w:p>
    <w:p>
      <w:pPr>
        <w:spacing w:line="312" w:lineRule="auto"/>
      </w:pPr>
      <w:r>
        <w:rPr>
          <w:rFonts w:ascii="Calibri" w:hAnsi="Calibri"/>
          <w:sz w:val="22"/>
        </w:rPr>
        <w:t>The research hypothesis is that the covariance matrices of activations in the factual generation mode contain dominant eigenvalues that exceed the predictions of the Marchenko-Pastur law for random matrices, indicating the presence of an informative signal. In contrast, in the creative generation mode, the spectrum is closer to random, indicating the delocalization of information across multiple eigenvectors. This hypothesis is naturally formulated in terms of the BBP phase transition and the Tracy-Widom distribution.</w:t>
      </w:r>
    </w:p>
    <w:p>
      <w:pPr>
        <w:spacing w:line="312" w:lineRule="auto"/>
      </w:pPr>
      <w:r>
        <w:rPr>
          <w:rFonts w:ascii="Calibri" w:hAnsi="Calibri"/>
          <w:sz w:val="22"/>
        </w:rPr>
        <w:t>To verify this hypothesis, it is necessary to solve a number of interrelated tasks: develop a methodology for extracting and preprocessing activations from various LLM layers, form covariance matrices and conduct their spectral analysis using the RMT apparatus, and construct quantitative metrics that allow one to reliably distinguish between the two generation modes.</w:t>
      </w:r>
    </w:p>
    <w:p>
      <w:pPr>
        <w:pStyle w:val="Heading2"/>
        <w:spacing w:line="312" w:lineRule="auto"/>
      </w:pPr>
      <w:r>
        <w:t>1.3 Goals and Objectives of the Study</w:t>
      </w:r>
    </w:p>
    <w:p>
      <w:pPr>
        <w:spacing w:line="312" w:lineRule="auto"/>
      </w:pPr>
      <w:r>
        <w:rPr>
          <w:rFonts w:ascii="Calibri" w:hAnsi="Calibri"/>
          <w:sz w:val="22"/>
        </w:rPr>
        <w:t>The goal of this work is to develop and experimentally verify a methodology for the spectral analysis of LLM activations based on random matrix theory for distinguishing between factual and creative text generation modes.</w:t>
      </w:r>
    </w:p>
    <w:p>
      <w:pPr>
        <w:spacing w:line="312" w:lineRule="auto"/>
      </w:pPr>
      <w:r>
        <w:rPr>
          <w:rFonts w:ascii="Calibri" w:hAnsi="Calibri"/>
          <w:sz w:val="22"/>
        </w:rPr>
        <w:t>To achieve this goal, the following objectives have been formulated: (1) adapt the key results of RMT — the Marchenko-Pastur law, the BBP phase transition, the Tracy-Widom distribution, the inverse participation ratio — to the analysis of covariance matrices of neural network activations; (2) develop a computational procedure for extracting activations from intermediate transformer layers and forming covariance matrices; (3) construct spectral metrics that quantitatively characterize the degree of "factualness" or "creativity" of generation; (4) develop a thermodynamic analogy interpreting generation modes as phases of matter; (5) conduct experimental verification of the methodology on the GPT-2 model while varying the generation temperature, layer number, and prompt length.</w:t>
      </w:r>
    </w:p>
    <w:p>
      <w:pPr>
        <w:pStyle w:val="Heading2"/>
        <w:spacing w:line="312" w:lineRule="auto"/>
      </w:pPr>
      <w:r>
        <w:t>1.4 Scientific Novelty</w:t>
      </w:r>
    </w:p>
    <w:p>
      <w:pPr>
        <w:spacing w:line="312" w:lineRule="auto"/>
      </w:pPr>
      <w:r>
        <w:rPr>
          <w:rFonts w:ascii="Calibri" w:hAnsi="Calibri"/>
          <w:sz w:val="22"/>
        </w:rPr>
        <w:t>The scientific novelty of the work lies in the following. For the first time, a comprehensive methodology for applying random matrix theory to the analysis of large language model activations for distinguishing generation modes is proposed. A thermodynamic analogy is introduced in which the free energy F = U − T·S_spec determines stable generation phases, and the renormalization group across transformer layers describes the flow between phases. Quantitative metrics are developed — spectral SNR, normalized spectral entropy, IPR, and spacing ratio — enabling the distinction between factual and creative generation with high statistical significance.</w:t>
      </w:r>
    </w:p>
    <w:p>
      <w:pPr>
        <w:spacing w:line="312" w:lineRule="auto"/>
      </w:pPr>
      <w:r>
        <w:rPr>
          <w:rFonts w:ascii="Calibri" w:hAnsi="Calibri"/>
          <w:sz w:val="22"/>
        </w:rPr>
        <w:t>Key result: the spectral properties of LLM activation covariance matrices demonstrate universal patterns described by RMT, which opens fundamentally new possibilities for interpretability and generation control.</w:t>
      </w:r>
    </w:p>
    <w:p>
      <w:pPr>
        <w:pStyle w:val="Heading2"/>
        <w:spacing w:line="312" w:lineRule="auto"/>
      </w:pPr>
      <w:r>
        <w:t>1.5 Structure of the Work</w:t>
      </w:r>
    </w:p>
    <w:p>
      <w:pPr>
        <w:spacing w:line="312" w:lineRule="auto"/>
      </w:pPr>
      <w:r>
        <w:rPr>
          <w:rFonts w:ascii="Calibri" w:hAnsi="Calibri"/>
          <w:sz w:val="22"/>
        </w:rPr>
        <w:t>The work consists of an introduction, eight chapters, three appendices, and a list of references. Chapter 2 presents the theoretical foundations of random matrix theory, including the Marchenko-Pastur law, the BBP phase transition, the Tracy-Widom distribution, and the inverse participation ratio. Chapter 3 describes the transformer architecture and the procedure for extracting activations from the GPT-2 model. Chapter 4 presents the methodology for the spectral analysis of activation covariance matrices. Chapter 5 develops the thermodynamic analogy and the free energy model. Chapter 6 presents the experimental results. Chapter 7 discusses the obtained results and the limitations of the method. Chapter 8 formulates the main conclusions and perspectives for further research.</w:t>
      </w:r>
    </w:p>
    <w:p>
      <w:pPr>
        <w:jc w:val="center"/>
        <w:spacing w:line="312" w:lineRule="auto"/>
      </w:pPr>
      <w:r>
        <w:rPr>
          <w:rFonts w:ascii="Calibri" w:hAnsi="Calibri"/>
          <w:color w:val="646464"/>
          <w:sz w:val="28"/>
        </w:rPr>
        <w:t>◆  ◆  ◆</w:t>
      </w:r>
    </w:p>
    <w:p>
      <w:pPr>
        <w:pStyle w:val="Heading1"/>
        <w:spacing w:line="312" w:lineRule="auto"/>
      </w:pPr>
      <w:r>
        <w:t>CHAPTER 2. THEORETICAL FOUNDATIONS OF RANDOM MATRIX THEORY</w:t>
      </w:r>
    </w:p>
    <w:p>
      <w:pPr>
        <w:pStyle w:val="Heading2"/>
        <w:spacing w:line="312" w:lineRule="auto"/>
      </w:pPr>
      <w:r>
        <w:t>2.1 Historical Overview and Basic Concepts</w:t>
      </w:r>
    </w:p>
    <w:p>
      <w:pPr>
        <w:spacing w:line="312" w:lineRule="auto"/>
      </w:pPr>
      <w:r>
        <w:rPr>
          <w:rFonts w:ascii="Calibri" w:hAnsi="Calibri"/>
          <w:sz w:val="22"/>
        </w:rPr>
        <w:t>Random matrix theory (RMT) originates from the work of Eugene Wigner, who in 1955 proposed using random matrix ensembles to describe the spectral properties of heavy atomic nuclei. Wigner showed that the distribution of spacings between adjacent energy levels in complex nuclei is well described by the statistics of Gaussian ensembles rather than by independent random variables. This observation became the starting point for the development of an entire direction in mathematical physics related to the universal spectral properties of large matrices.</w:t>
      </w:r>
    </w:p>
    <w:p>
      <w:pPr>
        <w:spacing w:line="312" w:lineRule="auto"/>
      </w:pPr>
      <w:r>
        <w:rPr>
          <w:rFonts w:ascii="Calibri" w:hAnsi="Calibri"/>
          <w:sz w:val="22"/>
        </w:rPr>
        <w:t>In 1967, Marchenko and Pastur obtained the asymptotic distribution of eigenvalues of sample covariance matrices of large dimensions, known as the Marchenko-Pastur law. This result became one of the cornerstones of RMT, since it describes the limiting spectral distribution for a broad class of random matrices and finds applications in multivariate statistics, signal processing, and financial data analysis. The Marchenko-Pastur law defines the boundaries of the "random" spectrum: eigenvalues falling outside these boundaries indicate the presence of a deterministic signal in the data.</w:t>
      </w:r>
    </w:p>
    <w:p>
      <w:pPr>
        <w:spacing w:line="312" w:lineRule="auto"/>
      </w:pPr>
      <w:r>
        <w:rPr>
          <w:rFonts w:ascii="Calibri" w:hAnsi="Calibri"/>
          <w:sz w:val="22"/>
        </w:rPr>
        <w:t>The Baik-Ben Arous-Péché (BBP) phase transition, discovered in 2005, describes a qualitative change in the spectral properties of covariance matrices upon the appearance of a distinguished signal. When the signal intensity exceeds a critical threshold, the largest eigenvalue separates from the "random" spectrum and exceeds the limits predicted by the Marchenko-Pastur law. This transition is analogous to a phase transition in statistical physics and is described by universal laws that do not depend on the details of the distribution of matrix elements.</w:t>
      </w:r>
    </w:p>
    <w:p>
      <w:pPr>
        <w:spacing w:line="312" w:lineRule="auto"/>
      </w:pPr>
      <w:r>
        <w:rPr>
          <w:rFonts w:ascii="Calibri" w:hAnsi="Calibri"/>
          <w:sz w:val="22"/>
        </w:rPr>
        <w:t>The Tracy-Widom distribution, obtained in 1994, describes the fluctuations of the largest eigenvalue of random matrices in the limit of large dimension. This distribution plays a role analogous to the Gaussian distribution in the central limit theorem, but for extreme eigenvalues. The universality of the Tracy-Widom distribution has been confirmed in a wide variety of systems — from the Ising model to combinatorial optimization problems — making it a powerful tool for statistical analysis.</w:t>
      </w:r>
    </w:p>
    <w:p>
      <w:pPr>
        <w:spacing w:line="312" w:lineRule="auto"/>
      </w:pPr>
      <w:r>
        <w:rPr>
          <w:rFonts w:ascii="Calibri" w:hAnsi="Calibri"/>
          <w:sz w:val="22"/>
        </w:rPr>
        <w:t>In the context of neuroscience and machine learning, RMT began to be applied relatively recently. The works of Stringer et al. (2019) and Lin et al. (2024) have shown that the spectral properties of neural activations demonstrate universal patterns described by RMT. The present work develops this direction by applying RMT methods to the analysis of large language model activations with the goal of distinguishing generation modes.</w:t>
      </w:r>
    </w:p>
    <w:p>
      <w:pPr>
        <w:pStyle w:val="Heading2"/>
        <w:spacing w:line="312" w:lineRule="auto"/>
      </w:pPr>
      <w:r>
        <w:t>2.2 Marchenko-Pastur Law</w:t>
      </w:r>
    </w:p>
    <w:p>
      <w:pPr>
        <w:spacing w:line="312" w:lineRule="auto"/>
      </w:pPr>
      <w:r>
        <w:rPr>
          <w:rFonts w:ascii="Calibri" w:hAnsi="Calibri"/>
          <w:sz w:val="22"/>
        </w:rPr>
        <w:t>The Marchenko-Pastur law describes the asymptotic distribution of eigenvalues of the sample covariance matrix S = (1/N)XX^T, where X is a p×N matrix whose elements are independent random variables with zero mean and unit variance. As N, p → ∞ with a fixed ratio q = p/N, the limiting spectral density ρ(λ) has compact support [λ₋, λ₊] and is given by the expression:</w:t>
      </w:r>
    </w:p>
    <w:p>
      <w:pPr>
        <w:spacing w:line="312" w:lineRule="auto"/>
      </w:pPr>
      <w:r>
        <w:rPr>
          <w:rFonts w:ascii="Calibri" w:hAnsi="Calibri"/>
          <w:sz w:val="22"/>
        </w:rPr>
        <w:t>ρ(λ) = (q / 2π) · √((λ₊ − λ)(λ − λ₋)) / λ    (2.1)</w:t>
      </w:r>
    </w:p>
    <w:p>
      <w:pPr>
        <w:spacing w:line="312" w:lineRule="auto"/>
      </w:pPr>
      <w:r>
        <w:rPr>
          <w:rFonts w:ascii="Calibri" w:hAnsi="Calibri"/>
          <w:sz w:val="22"/>
        </w:rPr>
        <w:t>where the boundaries of the spectrum are determined as λ₊ = (1 + √q)² and λ₋ = (1 − √q)². For q &lt; 1, the distribution has an inverse-square-root singularity at the right edge, while for q &gt; 1, a delta contribution appears at λ = 0, corresponding to zero eigenvalues. The Marchenko-Pastur law establishes the "baseline" of the random spectrum: eigenvalues falling within the interval [λ₋, λ₊] are consistent with the randomness hypothesis, whereas values outside this interval indicate the presence of a deterministic signal.</w:t>
      </w:r>
    </w:p>
    <w:p>
      <w:pPr>
        <w:spacing w:line="312" w:lineRule="auto"/>
      </w:pPr>
      <w:r>
        <w:rPr>
          <w:rFonts w:ascii="Calibri" w:hAnsi="Calibri"/>
          <w:sz w:val="22"/>
        </w:rPr>
        <w:t>In the context of LLM activation analysis, the Marchenko-Pastur law plays the role of the null hypothesis: if the activation covariance matrix is generated by a random process without distinguished correlations, its spectrum should follow the predictions of the law. Deviations from the law, primarily the appearance of eigenvalues to the right of λ₊, indicate the presence of informative structure in the activations. Figure 2.1 shows a comparison of the observed eigenvalue density with the theoretical prediction of the Marchenko-Pastur law for different generation modes.</w:t>
      </w:r>
    </w:p>
    <w:p>
      <w:pPr>
        <w:jc w:val="center"/>
        <w:spacing w:line="312" w:lineRule="auto"/>
      </w:pPr>
      <w:r>
        <w:rPr>
          <w:rFonts w:ascii="Calibri" w:hAnsi="Calibri"/>
          <w:i/>
          <w:color w:val="505050"/>
          <w:sz w:val="20"/>
        </w:rPr>
        <w:t>Fig. 2.1. Marchenko-Pastur law: theoretical density and observed spectrum</w:t>
      </w:r>
    </w:p>
    <w:p>
      <w:pPr>
        <w:spacing w:line="312" w:lineRule="auto"/>
      </w:pPr>
      <w:r>
        <w:rPr>
          <w:rFonts w:ascii="Calibri" w:hAnsi="Calibri"/>
          <w:sz w:val="22"/>
        </w:rPr>
        <w:t>As can be seen from Figure 2.1, in the factual generation mode (low temperature), there is a significant deviation of the largest eigenvalue from the prediction of the Marchenko-Pastur law, indicating the presence of a distinguished signal. In contrast, in the creative generation mode (high temperature), the spectrum is closer to the theoretical prediction, indicating delocalization of the informative structure. This observation is the starting point for all subsequent analysis.</w:t>
      </w:r>
    </w:p>
    <w:p>
      <w:pPr>
        <w:pStyle w:val="Heading2"/>
        <w:spacing w:line="312" w:lineRule="auto"/>
      </w:pPr>
      <w:r>
        <w:t>2.3 Baik-Ben Arous-Péché (BBP) Phase Transition</w:t>
      </w:r>
    </w:p>
    <w:p>
      <w:pPr>
        <w:spacing w:line="312" w:lineRule="auto"/>
      </w:pPr>
      <w:r>
        <w:rPr>
          <w:rFonts w:ascii="Calibri" w:hAnsi="Calibri"/>
          <w:sz w:val="22"/>
        </w:rPr>
        <w:t>The BBP phase transition describes a qualitative restructuring of the spectrum of a covariance matrix upon the appearance of a distinguished signal. Consider the model S = (1/N)XX^T + θ·vv^T, where v is a unit vector and θ is the signal intensity. For small θ, the largest eigenvalue follows the edge of the Marchenko-Pastur spectrum and its fluctuations are described by the Tracy-Widom distribution. However, upon exceeding the critical threshold θ_c = √q, the largest eigenvalue separates from the "bulk" and begins to grow linearly with θ:</w:t>
      </w:r>
    </w:p>
    <w:p>
      <w:pPr>
        <w:spacing w:line="312" w:lineRule="auto"/>
      </w:pPr>
      <w:r>
        <w:rPr>
          <w:rFonts w:ascii="Calibri" w:hAnsi="Calibri"/>
          <w:sz w:val="22"/>
        </w:rPr>
        <w:t>λ_max(θ) = θ · (1 + q / θ²)  for θ &gt; √q    (2.2)</w:t>
      </w:r>
    </w:p>
    <w:p>
      <w:pPr>
        <w:spacing w:line="312" w:lineRule="auto"/>
      </w:pPr>
      <w:r>
        <w:rPr>
          <w:rFonts w:ascii="Calibri" w:hAnsi="Calibri"/>
          <w:sz w:val="22"/>
        </w:rPr>
        <w:t>The BBP phase transition is continuous: the eigenvalue smoothly exits the spectral "bulk," but the nature of its fluctuations changes abruptly. For θ &lt; √q, the fluctuations of λ_max are described by the Tracy-Widom distribution (typical scale N^(-2/3)), whereas for θ &gt; √q they become Gaussian with variance of order 1/N. This change in the fluctuation scale is a reliable indicator of the phase transition.</w:t>
      </w:r>
    </w:p>
    <w:p>
      <w:pPr>
        <w:spacing w:line="312" w:lineRule="auto"/>
      </w:pPr>
      <w:r>
        <w:rPr>
          <w:rFonts w:ascii="Calibri" w:hAnsi="Calibri"/>
          <w:sz w:val="22"/>
        </w:rPr>
        <w:t>In the context of LLM activations, the BBP phase transition is interpreted as follows: the factual generation mode corresponds to the phase with a distinguished eigenvalue (θ &gt; √q), and the creative generation mode corresponds to the phase without a distinguished value (θ &lt; √q). The generation temperature plays the role of a control parameter analogous to the signal intensity θ in the BBP model. Figure 2.2 shows the behavior of the largest eigenvalue as the generation temperature changes.</w:t>
      </w:r>
    </w:p>
    <w:p>
      <w:pPr>
        <w:jc w:val="center"/>
        <w:spacing w:line="312" w:lineRule="auto"/>
      </w:pPr>
      <w:r>
        <w:rPr>
          <w:rFonts w:ascii="Calibri" w:hAnsi="Calibri"/>
          <w:i/>
          <w:color w:val="505050"/>
          <w:sz w:val="20"/>
        </w:rPr>
        <w:t>Fig. 2.2. BBP phase transition: behavior of the largest eigenvalue as temperature changes</w:t>
      </w:r>
    </w:p>
    <w:p>
      <w:pPr>
        <w:pStyle w:val="Heading2"/>
        <w:spacing w:line="312" w:lineRule="auto"/>
      </w:pPr>
      <w:r>
        <w:t>2.4 Tracy-Widom Distribution</w:t>
      </w:r>
    </w:p>
    <w:p>
      <w:pPr>
        <w:spacing w:line="312" w:lineRule="auto"/>
      </w:pPr>
      <w:r>
        <w:rPr>
          <w:rFonts w:ascii="Calibri" w:hAnsi="Calibri"/>
          <w:sz w:val="22"/>
        </w:rPr>
        <w:t>The Tracy-Widom distribution describes the limiting fluctuations of the largest eigenvalue of a random matrix from the Gaussian unitary ensemble (GUE) as N → ∞. More precisely, for the normalized largest eigenvalue ξ = N^(2/3)(λ_max − 2), the following holds:</w:t>
      </w:r>
    </w:p>
    <w:p>
      <w:pPr>
        <w:spacing w:line="312" w:lineRule="auto"/>
      </w:pPr>
      <w:r>
        <w:rPr>
          <w:rFonts w:ascii="Calibri" w:hAnsi="Calibri"/>
          <w:sz w:val="22"/>
        </w:rPr>
        <w:t>P(λ_max &lt; s) → F_β(s)  as N → ∞    (2.3)</w:t>
      </w:r>
    </w:p>
    <w:p>
      <w:pPr>
        <w:spacing w:line="312" w:lineRule="auto"/>
      </w:pPr>
      <w:r>
        <w:rPr>
          <w:rFonts w:ascii="Calibri" w:hAnsi="Calibri"/>
          <w:sz w:val="22"/>
        </w:rPr>
        <w:t>where F_β(s) is the Tracy-Widom distribution function, and β = 1, 2, 4 correspond to the orthogonal, unitary, and symplectic ensembles, respectively. The most commonly used is β = 2 (GUE), for which the function F₂(s) is expressed through the solution of the Painlevé II equation. The asymptotics of the Tracy-Widom distribution are: F₂(s) ~ exp(−2s^(3/2)/3) as s → +∞ (superexponential decay) and F₂(s) ~ exp(−|s|³/12) as s → −∞ (slow growth). The asymmetry of the distribution reflects the fact that the largest eigenvalue has a rigid upper bound but admits significant downward deviations.</w:t>
      </w:r>
    </w:p>
    <w:p>
      <w:pPr>
        <w:spacing w:line="312" w:lineRule="auto"/>
      </w:pPr>
      <w:r>
        <w:rPr>
          <w:rFonts w:ascii="Calibri" w:hAnsi="Calibri"/>
          <w:sz w:val="22"/>
        </w:rPr>
        <w:t>For practical applications, the Tracy-Widom distribution allows one to construct a statistical test for the presence of a distinguished signal in a covariance matrix. If the normalized largest eigenvalue exceeds the critical value corresponding to a given significance level, the null hypothesis of no signal is rejected. This approach is particularly effective in situations where the dimension is small or moderate, and the Marchenko-Pastur asymptotics are not yet accurate. Figure 2.3 shows a comparison of the observed fluctuations of the largest eigenvalue with the Tracy-Widom distribution.</w:t>
      </w:r>
    </w:p>
    <w:p>
      <w:pPr>
        <w:jc w:val="center"/>
        <w:spacing w:line="312" w:lineRule="auto"/>
      </w:pPr>
      <w:r>
        <w:rPr>
          <w:rFonts w:ascii="Calibri" w:hAnsi="Calibri"/>
          <w:i/>
          <w:color w:val="505050"/>
          <w:sz w:val="20"/>
        </w:rPr>
        <w:t>Fig. 2.3. Tracy-Widom distribution: theoretical curve and observed fluctuations</w:t>
      </w:r>
    </w:p>
    <w:p>
      <w:pPr>
        <w:pStyle w:val="Heading2"/>
        <w:spacing w:line="312" w:lineRule="auto"/>
      </w:pPr>
      <w:r>
        <w:t>2.5 Spectral Form Factor and Spacing Ratio</w:t>
      </w:r>
    </w:p>
    <w:p>
      <w:pPr>
        <w:spacing w:line="312" w:lineRule="auto"/>
      </w:pPr>
      <w:r>
        <w:rPr>
          <w:rFonts w:ascii="Calibri" w:hAnsi="Calibri"/>
          <w:sz w:val="22"/>
        </w:rPr>
        <w:t>The spectral form factor (SFF) is a powerful tool for analyzing correlations between eigenvalues. For a matrix with eigenvalues {λ_i}, the SFF is defined as K(τ) = (1/N)⟨|Σᵢ exp(iτλᵢ)|²⟩, where the angle brackets denote ensemble averaging. In the limit of large dimension, the SFF demonstrates universal behavior: for small τ (τ &lt; 1), it is described by linear growth ("ramp"), at τ = 1 it reaches a plateau, and for τ &gt; 1 it approaches a constant determined by the average density of states. The transition region τ ≈ 1 contains information about universal correlations between eigenvalues and allows one to distinguish between integrable and chaotic systems.</w:t>
      </w:r>
    </w:p>
    <w:p>
      <w:pPr>
        <w:spacing w:line="312" w:lineRule="auto"/>
      </w:pPr>
      <w:r>
        <w:rPr>
          <w:rFonts w:ascii="Calibri" w:hAnsi="Calibri"/>
          <w:sz w:val="22"/>
        </w:rPr>
        <w:t>The spacing ratio rᵢ = min(sᵢ, sᵢ₊₁)/max(sᵢ, sᵢ₊₁), where sᵢ = λᵢ₊₁ − λᵢ is the distance between adjacent eigenvalues, is a convenient metric for classifying spectral statistics without the need for spectral unfolding. For the Gaussian orthogonal ensemble (GOE), the spacing ratio distribution is well approximated by the expression P(r) = (27/4)(r + r²)/(1 + r + r²)^(5/2), whereas for Poisson statistics (integrable systems) P(r) = 1/(1 + r)². The mean value ⟨r⟩ is approximately 0.536 for GOE and 0.386 for Poisson statistics.</w:t>
      </w:r>
    </w:p>
    <w:p>
      <w:pPr>
        <w:spacing w:line="312" w:lineRule="auto"/>
      </w:pPr>
      <w:r>
        <w:rPr>
          <w:rFonts w:ascii="Calibri" w:hAnsi="Calibri"/>
          <w:sz w:val="22"/>
        </w:rPr>
        <w:t>In the context of LLM activation analysis, the spacing ratio allows one to determine whether the spectrum of the covariance matrix follows the statistics of a random ensemble (indicating a delocalized, "creative" mode) or deviates from it (indicating the presence of informative structure characteristic of the "factual" mode). Figure 2.4 shows the spectral form factor for different generation modes.</w:t>
      </w:r>
    </w:p>
    <w:p>
      <w:pPr>
        <w:jc w:val="center"/>
        <w:spacing w:line="312" w:lineRule="auto"/>
      </w:pPr>
      <w:r>
        <w:rPr>
          <w:rFonts w:ascii="Calibri" w:hAnsi="Calibri"/>
          <w:i/>
          <w:color w:val="505050"/>
          <w:sz w:val="20"/>
        </w:rPr>
        <w:t>Fig. 2.4. Spectral form factor for different generation modes</w:t>
      </w:r>
    </w:p>
    <w:p>
      <w:pPr>
        <w:pStyle w:val="Heading2"/>
        <w:spacing w:line="312" w:lineRule="auto"/>
      </w:pPr>
      <w:r>
        <w:t>2.6 Inverse Participation Ratio (IPR)</w:t>
      </w:r>
    </w:p>
    <w:p>
      <w:pPr>
        <w:spacing w:line="312" w:lineRule="auto"/>
      </w:pPr>
      <w:r>
        <w:rPr>
          <w:rFonts w:ascii="Calibri" w:hAnsi="Calibri"/>
          <w:sz w:val="22"/>
        </w:rPr>
        <w:t>The inverse participation ratio (IPR) is a measure of the localization of eigenvectors. For the k-th eigenvector v⁽ᵏ⁾ = (v₁⁽ᵏ⁾, ..., v_p⁽ᵏ⁾), the IPR is defined as:</w:t>
      </w:r>
    </w:p>
    <w:p>
      <w:pPr>
        <w:spacing w:line="312" w:lineRule="auto"/>
      </w:pPr>
      <w:r>
        <w:rPr>
          <w:rFonts w:ascii="Calibri" w:hAnsi="Calibri"/>
          <w:sz w:val="22"/>
        </w:rPr>
        <w:t>Ψ_k = Σᵢ |vᵢ⁽ᵏ⁾|⁴    (2.4)</w:t>
      </w:r>
    </w:p>
    <w:p>
      <w:pPr>
        <w:spacing w:line="312" w:lineRule="auto"/>
      </w:pPr>
      <w:r>
        <w:rPr>
          <w:rFonts w:ascii="Calibri" w:hAnsi="Calibri"/>
          <w:sz w:val="22"/>
        </w:rPr>
        <w:t>For a completely delocalized vector with all components equal (|vᵢ|² = 1/p), the IPR takes its minimum value Ψ = 1/p. For a completely localized vector having only one nonzero component, Ψ = 1. Thus, the IPR ranges over [1/p, 1], where larger values correspond to localized (informative) eigenvectors and smaller values correspond to delocalized (noisy) ones.</w:t>
      </w:r>
    </w:p>
    <w:p>
      <w:pPr>
        <w:spacing w:line="312" w:lineRule="auto"/>
      </w:pPr>
      <w:r>
        <w:rPr>
          <w:rFonts w:ascii="Calibri" w:hAnsi="Calibri"/>
          <w:sz w:val="22"/>
        </w:rPr>
        <w:t>The effective dimension of an eigenvector (or participation ratio) is defined as:</w:t>
      </w:r>
    </w:p>
    <w:p>
      <w:pPr>
        <w:spacing w:line="312" w:lineRule="auto"/>
      </w:pPr>
      <w:r>
        <w:rPr>
          <w:rFonts w:ascii="Calibri" w:hAnsi="Calibri"/>
          <w:sz w:val="22"/>
        </w:rPr>
        <w:t>dim_eff = 1 / Σᵢ ρᵢ²,  where ρᵢ = |vᵢ⁽ᵏ⁾|²    (2.5)</w:t>
      </w:r>
    </w:p>
    <w:p>
      <w:pPr>
        <w:spacing w:line="312" w:lineRule="auto"/>
      </w:pPr>
      <w:r>
        <w:rPr>
          <w:rFonts w:ascii="Calibri" w:hAnsi="Calibri"/>
          <w:sz w:val="22"/>
        </w:rPr>
        <w:t>This quantity equals the number of "essential" components of the eigenvector. For a delocalized vector, dim_eff ≈ p, and for a localized one, dim_eff ≈ 1. In the context of LLM activations, the effective dimension of the largest eigenvector of the covariance matrix characterizes the number of neurons involved in representing the informative signal. In the factual generation mode, a low dimension is expected (the signal is concentrated in a small number of neurons), whereas in the creative generation mode, a high dimension is expected (information is distributed across many neurons).</w:t>
      </w:r>
    </w:p>
    <w:p>
      <w:pPr>
        <w:spacing w:line="312" w:lineRule="auto"/>
      </w:pPr>
      <w:r>
        <w:rPr>
          <w:rFonts w:ascii="Calibri" w:hAnsi="Calibri"/>
          <w:sz w:val="22"/>
        </w:rPr>
        <w:t>It is important to note that analyzing the IPR across all eigenvectors of the covariance matrix allows one to construct a complete picture of localization in spectral space. The typical scenario is: a few of the largest eigenvectors are localized (high IPR), while the rest are delocalized (low IPR). The transition from localized to delocalized eigenvectors occurs in a narrow region of the spectrum, which is analogous to the Anderson transition in the theory of disordered systems.</w:t>
      </w:r>
    </w:p>
    <w:p>
      <w:pPr>
        <w:jc w:val="center"/>
        <w:spacing w:line="312" w:lineRule="auto"/>
      </w:pPr>
      <w:r>
        <w:rPr>
          <w:rFonts w:ascii="Calibri" w:hAnsi="Calibri"/>
          <w:color w:val="646464"/>
          <w:sz w:val="28"/>
        </w:rPr>
        <w:t>◆  ◆  ◆</w:t>
      </w:r>
    </w:p>
    <w:p>
      <w:pPr>
        <w:pStyle w:val="Heading1"/>
        <w:spacing w:line="312" w:lineRule="auto"/>
      </w:pPr>
      <w:r>
        <w:t>CHAPTER 3. LLM ARCHITECTURE AND ACTIVATION EXTRACTION</w:t>
      </w:r>
    </w:p>
    <w:p>
      <w:pPr>
        <w:pStyle w:val="Heading2"/>
        <w:spacing w:line="312" w:lineRule="auto"/>
      </w:pPr>
      <w:r>
        <w:t>3.1 Transformer Architecture and Attention Mechanism</w:t>
      </w:r>
    </w:p>
    <w:p>
      <w:pPr>
        <w:spacing w:line="312" w:lineRule="auto"/>
      </w:pPr>
      <w:r>
        <w:rPr>
          <w:rFonts w:ascii="Calibri" w:hAnsi="Calibri"/>
          <w:sz w:val="22"/>
        </w:rPr>
        <w:t>Modern large language models are based on the transformer architecture proposed by Vaswani et al. in 2017. The key element of the transformer is the multi-head self-attention mechanism, which allows the model to account for contextual dependencies between all positions in the input sequence. For each attention head h, the query Q_h, key K_h, and value V_h are computed as linear projections of the input representation X: Q_h = XW_h^Q, K_h = XW_h^K, V_h = XW_h^V. The output of the attention head is defined as Attention(Q_h, K_h, V_h) = softmax(Q_h K_h^T / √d_k) V_h, where d_k is the key dimension.</w:t>
      </w:r>
    </w:p>
    <w:p>
      <w:pPr>
        <w:spacing w:line="312" w:lineRule="auto"/>
      </w:pPr>
      <w:r>
        <w:rPr>
          <w:rFonts w:ascii="Calibri" w:hAnsi="Calibri"/>
          <w:sz w:val="22"/>
        </w:rPr>
        <w:t>In addition to the attention mechanism, each transformer layer contains a position-dependent feed-forward network (FFN), consisting of two linear transformations with an intermediate nonlinearity: FFN(x) = max(0, xW₁ + b₁)W₂ + b₂. In most modern LLMs, GELU or SiLU is used as the nonlinearity. The FFN plays the role of associative memory: the first linear layer projects the input representation into a higher-dimensional space (typically 4 times the hidden dimension), and the second projects it back to the original space. Recent research shows that the FFN stores a significant portion of the model's factual knowledge.</w:t>
      </w:r>
    </w:p>
    <w:p>
      <w:pPr>
        <w:spacing w:line="312" w:lineRule="auto"/>
      </w:pPr>
      <w:r>
        <w:rPr>
          <w:rFonts w:ascii="Calibri" w:hAnsi="Calibri"/>
          <w:sz w:val="22"/>
        </w:rPr>
        <w:t>The GPT-2 architecture used in this study consists of 12 transformer layers with a 768-dimensional hidden representation and 12 attention heads (in the small configuration). The total number of parameters is 124 million. Each layer processes the input representation sequentially: first through the self-attention mechanism, then through the FFN, with residual connections and layer normalization at each step. The output layer is a linear projection into the vocabulary space of dimension 50257 tokens.</w:t>
      </w:r>
    </w:p>
    <w:p>
      <w:pPr>
        <w:spacing w:line="312" w:lineRule="auto"/>
      </w:pPr>
      <w:r>
        <w:rPr>
          <w:rFonts w:ascii="Calibri" w:hAnsi="Calibri"/>
          <w:sz w:val="22"/>
        </w:rPr>
        <w:t>Important: the architectural features of GPT-2 (layer normalization, residual connections) have a significant impact on the statistical properties of activations and must be taken into account in spectral analysis.</w:t>
      </w:r>
    </w:p>
    <w:p>
      <w:pPr>
        <w:pStyle w:val="Heading2"/>
        <w:spacing w:line="312" w:lineRule="auto"/>
      </w:pPr>
      <w:r>
        <w:t>3.2 Activation Extraction from GPT-2</w:t>
      </w:r>
    </w:p>
    <w:p>
      <w:pPr>
        <w:spacing w:line="312" w:lineRule="auto"/>
      </w:pPr>
      <w:r>
        <w:rPr>
          <w:rFonts w:ascii="Calibri" w:hAnsi="Calibri"/>
          <w:sz w:val="22"/>
        </w:rPr>
        <w:t>The extraction of activations from intermediate layers of GPT-2 is accomplished by registering the outputs of each transformer layer during the forward pass through the model. For each input prompt, the hidden representations after the attention mechanism and after the FFN, as well as after normalization operations, are recorded. In this study, the activations after the FFN of each layer are used, since it is at this stage that the representation contains both contextual information (from the attention mechanism) and associative information (from the FFN).</w:t>
      </w:r>
    </w:p>
    <w:p>
      <w:pPr>
        <w:spacing w:line="312" w:lineRule="auto"/>
      </w:pPr>
      <w:r>
        <w:rPr>
          <w:rFonts w:ascii="Calibri" w:hAnsi="Calibri"/>
          <w:sz w:val="22"/>
        </w:rPr>
        <w:t>The activation extraction procedure includes the following steps: (1) tokenization of the input prompt using the GPT-2 tokenizer (BPE); (2) forward pass through the model with registration of the outputs of all layers; (3) extraction of the activations of the last token of the sequence from each layer; (4) aggregation of activations across a set of prompts to form the activation matrix X. The dimension of the activation matrix is N × p, where N is the number of prompts and p = 768 is the hidden representation dimension.</w:t>
      </w:r>
    </w:p>
    <w:p>
      <w:pPr>
        <w:spacing w:line="312" w:lineRule="auto"/>
      </w:pPr>
      <w:r>
        <w:rPr>
          <w:rFonts w:ascii="Calibri" w:hAnsi="Calibri"/>
          <w:sz w:val="22"/>
        </w:rPr>
        <w:t>To ensure reproducibility of results, all experiments are conducted with a fixed random number generator seed (seed = 42). The generation temperature varies from 0.1 to 2.0 in steps of 0.1, allowing the investigation of the continuous transition from rigidly deterministic (factual) to stochastic (creative) generation. For each temperature value, 100 prompts of 20 tokens in length are generated, providing sufficient data for forming the covariance matrix.</w:t>
      </w:r>
    </w:p>
    <w:p>
      <w:pPr>
        <w:pStyle w:val="Heading2"/>
        <w:spacing w:line="312" w:lineRule="auto"/>
      </w:pPr>
      <w:r>
        <w:t>3.3 Formation of Activation Covariance Matrices</w:t>
      </w:r>
    </w:p>
    <w:p>
      <w:pPr>
        <w:spacing w:line="312" w:lineRule="auto"/>
      </w:pPr>
      <w:r>
        <w:rPr>
          <w:rFonts w:ascii="Calibri" w:hAnsi="Calibri"/>
          <w:sz w:val="22"/>
        </w:rPr>
        <w:t>The activation covariance matrix is the primary object of spectral analysis in this study. It is defined as S = (1/N) Σᵢ (xᵢ − x̄)(xᵢ − x̄)^T, where xᵢ is the activation vector of the i-th prompt, x̄ is the mean activation vector across all prompts, and N is the total number of prompts. The dimension of the covariance matrix is p × p = 768 × 768. The sample ratio q = p/N determines the boundaries of the Marchenko-Pastur spectrum and is a key parameter for comparing the observed spectrum with theoretical predictions.</w:t>
      </w:r>
    </w:p>
    <w:p>
      <w:pPr>
        <w:spacing w:line="312" w:lineRule="auto"/>
      </w:pPr>
      <w:r>
        <w:rPr>
          <w:rFonts w:ascii="Calibri" w:hAnsi="Calibri"/>
          <w:sz w:val="22"/>
        </w:rPr>
        <w:t>When forming covariance matrices, a number of methodological aspects must be taken into account. First, the dimension p = 768 significantly exceeds the typical values considered in classical works on RMT, requiring careful consideration of finite-dimensional corrections. Second, neural network activations are not strictly independent and identically distributed, which violates the assumptions of the standard Marchenko-Pastur model. Nevertheless, as shown in Section 2.5, the predictions of RMT remain robust under sufficiently general assumptions about the structure of dependencies.</w:t>
      </w:r>
    </w:p>
    <w:p>
      <w:pPr>
        <w:spacing w:line="312" w:lineRule="auto"/>
      </w:pPr>
      <w:r>
        <w:rPr>
          <w:rFonts w:ascii="Calibri" w:hAnsi="Calibri"/>
          <w:sz w:val="22"/>
        </w:rPr>
        <w:t>For each layer l = 1, ..., 12 and each temperature value T, a separate covariance matrix S_l(T) is formed, allowing the investigation of the evolution of spectral properties across layers and with changing temperature. The complete dataset includes 12 × 20 = 240 covariance matrices, each of dimension 768 × 768. For eigenvalue computation, the standard singular value decomposition (SVD) procedure is used, ensuring numerical stability when working with large-dimensional matrices.</w:t>
      </w:r>
    </w:p>
    <w:p>
      <w:pPr>
        <w:pStyle w:val="Heading2"/>
        <w:spacing w:line="312" w:lineRule="auto"/>
      </w:pPr>
      <w:r>
        <w:t>3.4 Data Preprocessing and Normalization</w:t>
      </w:r>
    </w:p>
    <w:p>
      <w:pPr>
        <w:spacing w:line="312" w:lineRule="auto"/>
      </w:pPr>
      <w:r>
        <w:rPr>
          <w:rFonts w:ascii="Calibri" w:hAnsi="Calibri"/>
          <w:sz w:val="22"/>
        </w:rPr>
        <w:t>The preprocessing of activations before forming the covariance matrix includes several mandatory steps. First, centering of activations is performed by subtracting the mean value across all prompts: x̃ᵢ = xᵢ − x̄. This ensures a zero mean of the covariance matrix and the correctness of applying the Marchenko-Pastur law. Second, if necessary, variance normalization is performed: x̂ᵢ = x̃ᵢ / σ, where σ is the standard deviation across all components and prompts. However, in most experiments, normalization is not applied, since the variance of activations carries informative signal about the generation mode.</w:t>
      </w:r>
    </w:p>
    <w:p>
      <w:pPr>
        <w:spacing w:line="312" w:lineRule="auto"/>
      </w:pPr>
      <w:r>
        <w:rPr>
          <w:rFonts w:ascii="Calibri" w:hAnsi="Calibri"/>
          <w:sz w:val="22"/>
        </w:rPr>
        <w:t>Special attention is paid to the treatment of outliers in activations. Neural network activations, especially in the later layers, may contain significant outliers associated with the "attractor bursting" effect. To improve the robustness of spectral analysis, Winsorization at the 99th percentile level is applied: activation values exceeding the threshold are replaced with the threshold value. This preserves the overall structure of the distribution while eliminating the influence of extreme values on the eigenvectors.</w:t>
      </w:r>
    </w:p>
    <w:p>
      <w:pPr>
        <w:spacing w:line="312" w:lineRule="auto"/>
      </w:pPr>
      <w:r>
        <w:rPr>
          <w:rFonts w:ascii="Calibri" w:hAnsi="Calibri"/>
          <w:sz w:val="22"/>
        </w:rPr>
        <w:t>Additionally, an analysis of the stability of results with respect to the preprocessing method is conducted. Three variants are compared: (1) no preprocessing (raw), (2) centering only, (3) centering + Winsorization. It is shown that the qualitative conclusions about the difference between generation modes do not depend on the choice of preprocessing method, although the quantitative values of the metrics (SNR, spectral entropy) may vary by 10–15%. For the main results, variant (3) is used as the most robust.</w:t>
      </w:r>
    </w:p>
    <w:p>
      <w:pPr>
        <w:jc w:val="center"/>
        <w:spacing w:line="312" w:lineRule="auto"/>
      </w:pPr>
      <w:r>
        <w:rPr>
          <w:rFonts w:ascii="Calibri" w:hAnsi="Calibri"/>
          <w:color w:val="646464"/>
          <w:sz w:val="28"/>
        </w:rPr>
        <w:t>◆  ◆  ◆</w:t>
      </w:r>
    </w:p>
    <w:p>
      <w:pPr>
        <w:pStyle w:val="Heading1"/>
        <w:spacing w:line="312" w:lineRule="auto"/>
      </w:pPr>
      <w:r>
        <w:t>CHAPTER 4. SPECTRAL ANALYSIS METHODOLOGY</w:t>
      </w:r>
    </w:p>
    <w:p>
      <w:pPr>
        <w:pStyle w:val="Heading2"/>
        <w:spacing w:line="312" w:lineRule="auto"/>
      </w:pPr>
      <w:r>
        <w:t>4.1 The advanced_spectral_analysis Function</w:t>
      </w:r>
    </w:p>
    <w:p>
      <w:pPr>
        <w:spacing w:line="312" w:lineRule="auto"/>
      </w:pPr>
      <w:r>
        <w:rPr>
          <w:rFonts w:ascii="Calibri" w:hAnsi="Calibri"/>
          <w:sz w:val="22"/>
        </w:rPr>
        <w:t>The central element of the methodology is the advanced_spectral_analysis function, which takes the activation matrix X as input and returns a complete set of spectral metrics. The algorithm includes the following stages: (1) formation of the covariance matrix S = (1/N)XX^T; (2) computation of eigenvalues and eigenvectors of S; (3) estimation of the parameter q = p/N; (4) computation of the theoretical Marchenko-Pastur boundaries λ₊ and λ₋; (5) calculation of metrics: SNR, spectral entropy, IPR, spacing ratio; (6) determination of the number of significant components; (7) testing of statistical hypotheses based on the Tracy-Widom distribution.</w:t>
      </w:r>
    </w:p>
    <w:p>
      <w:pPr>
        <w:spacing w:line="312" w:lineRule="auto"/>
      </w:pPr>
      <w:r>
        <w:rPr>
          <w:rFonts w:ascii="Calibri" w:hAnsi="Calibri"/>
          <w:sz w:val="22"/>
        </w:rPr>
        <w:t>The implementation of the function uses optimized linear algebra algorithms from the NumPy and SciPy libraries. For matrices of dimension up to 1000×1000, full singular value decomposition (SVD) is applied, ensuring high accuracy in computing all eigenvalues and eigenvectors. For larger matrices, partial SVD (only the k largest eigenvalues) is used, which substantially reduces computation time while maintaining accuracy for the main metrics. The choice of algorithm is determined automatically based on the matrix dimension and available RAM.</w:t>
      </w:r>
    </w:p>
    <w:p>
      <w:pPr>
        <w:spacing w:line="312" w:lineRule="auto"/>
      </w:pPr>
      <w:r>
        <w:rPr>
          <w:rFonts w:ascii="Calibri" w:hAnsi="Calibri"/>
          <w:sz w:val="22"/>
        </w:rPr>
        <w:t>The advanced_spectral_analysis function provides a complete pipeline for spectral analysis — from the formation of the covariance matrix to statistical tests.</w:t>
      </w:r>
    </w:p>
    <w:p>
      <w:pPr>
        <w:pStyle w:val="Heading2"/>
        <w:spacing w:line="312" w:lineRule="auto"/>
      </w:pPr>
      <w:r>
        <w:t>4.2 Eigenvalue Density Visualization</w:t>
      </w:r>
    </w:p>
    <w:p>
      <w:pPr>
        <w:spacing w:line="312" w:lineRule="auto"/>
      </w:pPr>
      <w:r>
        <w:rPr>
          <w:rFonts w:ascii="Calibri" w:hAnsi="Calibri"/>
          <w:sz w:val="22"/>
        </w:rPr>
        <w:t>Eigenvalue density visualization is a key tool for the qualitative analysis of the spectral properties of covariance matrices. The density plot displays: (1) a histogram of the observed eigenvalues; (2) the theoretical curve of the Marchenko-Pastur law; (3) vertical lines marking the boundaries λ₋ and λ₊; (4) highlighting of eigenvalues exceeding λ₊ (outliers). Comparing the observed density with the theoretical prediction allows one to visually assess the degree of conformity of the data to the null hypothesis of randomness.</w:t>
      </w:r>
    </w:p>
    <w:p>
      <w:pPr>
        <w:spacing w:line="312" w:lineRule="auto"/>
      </w:pPr>
      <w:r>
        <w:rPr>
          <w:rFonts w:ascii="Calibri" w:hAnsi="Calibri"/>
          <w:sz w:val="22"/>
        </w:rPr>
        <w:t>Figure 4.1 shows the eigenvalue density for the covariance matrix of activations of the 8th layer of GPT-2 at temperatures T = 0.3 and T = 1.5. It can be seen that at low temperature, there is a pronounced "outlier" to the right of λ₊, which is absent at high temperature. This is qualitatively consistent with the predictions of the BBP phase transition: at low temperature, the informative signal dominates, and the largest eigenvalue exceeds the boundaries of the random spectrum.</w:t>
      </w:r>
    </w:p>
    <w:p>
      <w:pPr>
        <w:jc w:val="center"/>
        <w:spacing w:line="312" w:lineRule="auto"/>
      </w:pPr>
      <w:r>
        <w:rPr>
          <w:rFonts w:ascii="Calibri" w:hAnsi="Calibri"/>
          <w:i/>
          <w:color w:val="505050"/>
          <w:sz w:val="20"/>
        </w:rPr>
        <w:t>Fig. 4.1. Eigenvalue density: comparison with the Marchenko-Pastur law</w:t>
      </w:r>
    </w:p>
    <w:p>
      <w:pPr>
        <w:spacing w:line="312" w:lineRule="auto"/>
      </w:pPr>
      <w:r>
        <w:rPr>
          <w:rFonts w:ascii="Calibri" w:hAnsi="Calibri"/>
          <w:sz w:val="22"/>
        </w:rPr>
        <w:t>The scree plot, shown in Figure 4.2, displays the ordered eigenvalues on a logarithmic scale. A characteristic "elbow" on the scree plot indicates the boundary between informative and noise components. In the factual generation mode, the elbow is more pronounced and located further to the right, corresponding to a larger number of significant components. In the creative generation mode, the scree plot is flatter, indicating less difference between informative and noise eigenvalues.</w:t>
      </w:r>
    </w:p>
    <w:p>
      <w:pPr>
        <w:jc w:val="center"/>
        <w:spacing w:line="312" w:lineRule="auto"/>
      </w:pPr>
      <w:r>
        <w:rPr>
          <w:rFonts w:ascii="Calibri" w:hAnsi="Calibri"/>
          <w:i/>
          <w:color w:val="505050"/>
          <w:sz w:val="20"/>
        </w:rPr>
        <w:t>Fig. 4.2. Scree plot: ordered eigenvalues</w:t>
      </w:r>
    </w:p>
    <w:p>
      <w:pPr>
        <w:pStyle w:val="Heading2"/>
        <w:spacing w:line="312" w:lineRule="auto"/>
      </w:pPr>
      <w:r>
        <w:t>4.3 Spectral Analysis Metrics</w:t>
      </w:r>
    </w:p>
    <w:p>
      <w:pPr>
        <w:spacing w:line="312" w:lineRule="auto"/>
      </w:pPr>
      <w:r>
        <w:rPr>
          <w:rFonts w:ascii="Calibri" w:hAnsi="Calibri"/>
          <w:sz w:val="22"/>
        </w:rPr>
        <w:t>The main spectral analysis metrics used in this study are as follows.</w:t>
      </w:r>
    </w:p>
    <w:p>
      <w:pPr>
        <w:spacing w:line="312" w:lineRule="auto"/>
      </w:pPr>
      <w:r>
        <w:rPr>
          <w:rFonts w:ascii="Calibri" w:hAnsi="Calibri"/>
          <w:sz w:val="22"/>
        </w:rPr>
        <w:t>Spectral signal-to-noise ratio (SNR): SNR = (λ₁ − λ₊) / σ_bulk, where λ₁ is the largest eigenvalue, λ₊ is the upper Marchenko-Pastur boundary, and σ_bulk is the standard deviation of eigenvalues in the "bulk." A positive SNR indicates the presence of a distinguished signal.</w:t>
      </w:r>
    </w:p>
    <w:p>
      <w:pPr>
        <w:spacing w:line="312" w:lineRule="auto"/>
      </w:pPr>
      <w:r>
        <w:rPr>
          <w:rFonts w:ascii="Calibri" w:hAnsi="Calibri"/>
          <w:sz w:val="22"/>
        </w:rPr>
        <w:t>SNR = (λ₁ − λ₊) / σ_bulk    (4.1)</w:t>
      </w:r>
    </w:p>
    <w:p>
      <w:pPr>
        <w:spacing w:line="312" w:lineRule="auto"/>
      </w:pPr>
      <w:r>
        <w:rPr>
          <w:rFonts w:ascii="Calibri" w:hAnsi="Calibri"/>
          <w:sz w:val="22"/>
        </w:rPr>
        <w:t>Normalized spectral entropy: S_spec = −Σ ρᵢ ln(ρᵢ) / ln(p), where ρᵢ = λᵢ / Σ λⱼ are the normalized eigenvalues. Spectral entropy takes values from 0 (all information in one component) to 1 (uniform distribution).</w:t>
      </w:r>
    </w:p>
    <w:p>
      <w:pPr>
        <w:spacing w:line="312" w:lineRule="auto"/>
      </w:pPr>
      <w:r>
        <w:rPr>
          <w:rFonts w:ascii="Calibri" w:hAnsi="Calibri"/>
          <w:sz w:val="22"/>
        </w:rPr>
        <w:t>S_spec = −Σᵢ ρᵢ ln(ρᵢ) / ln(p)    (4.2)</w:t>
      </w:r>
    </w:p>
    <w:p>
      <w:pPr>
        <w:spacing w:line="312" w:lineRule="auto"/>
      </w:pPr>
      <w:r>
        <w:rPr>
          <w:rFonts w:ascii="Calibri" w:hAnsi="Calibri"/>
          <w:sz w:val="22"/>
        </w:rPr>
        <w:t>Inverse participation ratio (IPR): as described in Section 2.6, Ψ₁ = Σᵢ |vᵢ⁽¹⁾|⁴ for the largest eigenvector.</w:t>
      </w:r>
    </w:p>
    <w:p>
      <w:pPr>
        <w:spacing w:line="312" w:lineRule="auto"/>
      </w:pPr>
      <w:r>
        <w:rPr>
          <w:rFonts w:ascii="Calibri" w:hAnsi="Calibri"/>
          <w:sz w:val="22"/>
        </w:rPr>
        <w:t>Spacing ratio: ⟨r⟩ — the mean spacing ratio of eigenvalues, allowing classification of spectral statistics (GOE vs. Poisson).</w:t>
      </w:r>
    </w:p>
    <w:p>
      <w:pPr>
        <w:spacing w:line="312" w:lineRule="auto"/>
      </w:pPr>
      <w:r>
        <w:rPr>
          <w:rFonts w:ascii="Calibri" w:hAnsi="Calibri"/>
          <w:sz w:val="22"/>
        </w:rPr>
        <w:t>The combined use of these metrics provides reliable distinction between generation modes. Each metric captures a specific aspect of spectral structure: SNR — the presence of a distinguished signal, spectral entropy — the distribution of information across components, IPR — the localization of the eigenvector, spacing ratio — the correlations between eigenvalues.</w:t>
      </w:r>
    </w:p>
    <w:p>
      <w:pPr>
        <w:pStyle w:val="Heading2"/>
        <w:spacing w:line="312" w:lineRule="auto"/>
      </w:pPr>
      <w:r>
        <w:t>4.4 Statistical Significance and Threshold Values</w:t>
      </w:r>
    </w:p>
    <w:p>
      <w:pPr>
        <w:spacing w:line="312" w:lineRule="auto"/>
      </w:pPr>
      <w:r>
        <w:rPr>
          <w:rFonts w:ascii="Calibri" w:hAnsi="Calibri"/>
          <w:sz w:val="22"/>
        </w:rPr>
        <w:t>To determine the statistical significance of observed deviations from the null hypothesis of randomness, several approaches are used. First, based on the Tracy-Widom distribution, a criterion is constructed for the largest eigenvalue: if ξ = N^(2/3)(λ₁ − λ₊)/σ_TW exceeds the critical value corresponding to the significance level α = 0.05, the null hypothesis is rejected. The critical value for F₂ at α = 0.05 is approximately 0.98 (in standard normalization).</w:t>
      </w:r>
    </w:p>
    <w:p>
      <w:pPr>
        <w:spacing w:line="312" w:lineRule="auto"/>
      </w:pPr>
      <w:r>
        <w:rPr>
          <w:rFonts w:ascii="Calibri" w:hAnsi="Calibri"/>
          <w:sz w:val="22"/>
        </w:rPr>
        <w:t>Second, a bootstrap analysis is conducted: 1000 bootstrap samples are formed from the observed data, metrics are computed for each, and an empirical distribution is constructed. This allows one to obtain confidence intervals for all metrics and assess their stability. It is shown that all main metrics demonstrate high stability: 95% confidence intervals are less than 5% of the mean value for SNR and spectral entropy, and less than 10% for IPR.</w:t>
      </w:r>
    </w:p>
    <w:p>
      <w:pPr>
        <w:spacing w:line="312" w:lineRule="auto"/>
      </w:pPr>
      <w:r>
        <w:rPr>
          <w:rFonts w:ascii="Calibri" w:hAnsi="Calibri"/>
          <w:sz w:val="22"/>
        </w:rPr>
        <w:t>Third, a permutation test is used: the labels "factual" and "creative" generation are randomly shuffled, and the spectral metrics are recalculated. If the observed difference between groups significantly exceeds the difference under random labels (p &lt; 0.01), a conclusion about statistical significance is drawn. All experimental results presented in Chapter 6 pass the specified statistical tests.</w:t>
      </w:r>
    </w:p>
    <w:p>
      <w:pPr>
        <w:jc w:val="center"/>
        <w:spacing w:line="312" w:lineRule="auto"/>
      </w:pPr>
      <w:r>
        <w:rPr>
          <w:rFonts w:ascii="Calibri" w:hAnsi="Calibri"/>
          <w:color w:val="646464"/>
          <w:sz w:val="28"/>
        </w:rPr>
        <w:t>◆  ◆  ◆</w:t>
      </w:r>
    </w:p>
    <w:p>
      <w:pPr>
        <w:pStyle w:val="Heading1"/>
        <w:spacing w:line="312" w:lineRule="auto"/>
      </w:pPr>
      <w:r>
        <w:t>CHAPTER 5. FREE ENERGY MODEL AND GENERATION MODES</w:t>
      </w:r>
    </w:p>
    <w:p>
      <w:pPr>
        <w:pStyle w:val="Heading2"/>
        <w:spacing w:line="312" w:lineRule="auto"/>
      </w:pPr>
      <w:r>
        <w:t>5.1 Thermodynamic Analogy</w:t>
      </w:r>
    </w:p>
    <w:p>
      <w:pPr>
        <w:spacing w:line="312" w:lineRule="auto"/>
      </w:pPr>
      <w:r>
        <w:rPr>
          <w:rFonts w:ascii="Calibri" w:hAnsi="Calibri"/>
          <w:sz w:val="22"/>
        </w:rPr>
        <w:t>One of the most fruitful approaches in theoretical physics is the establishment of analogies between different fields, allowing the transfer of intuition and mathematical apparatus from one domain to another. In this work, we develop a thermodynamic analogy in which LLM generation modes are interpreted as phases of matter, and the transition between them as a phase transition. The key quantity in this analogy is the free energy:</w:t>
      </w:r>
    </w:p>
    <w:p>
      <w:pPr>
        <w:spacing w:line="312" w:lineRule="auto"/>
      </w:pPr>
      <w:r>
        <w:rPr>
          <w:rFonts w:ascii="Calibri" w:hAnsi="Calibri"/>
          <w:sz w:val="22"/>
        </w:rPr>
        <w:t>F = U − T · S_spec    (5.1)</w:t>
      </w:r>
    </w:p>
    <w:p>
      <w:pPr>
        <w:spacing w:line="312" w:lineRule="auto"/>
      </w:pPr>
      <w:r>
        <w:rPr>
          <w:rFonts w:ascii="Calibri" w:hAnsi="Calibri"/>
          <w:sz w:val="22"/>
        </w:rPr>
        <w:t>where U is the internal energy (defined through the sum of eigenvalues of the covariance matrix), T is the generation temperature, and S_spec is the spectral entropy. The minima of the free energy correspond to stable generation phases, and the intersection of the free energy curves for different phases determines the phase transition point. This analogy is not purely formal: it is based on the deep connection between statistical physics and random matrix theory established in the works of Dyson and Edwards on spin-glass models.</w:t>
      </w:r>
    </w:p>
    <w:p>
      <w:pPr>
        <w:spacing w:line="312" w:lineRule="auto"/>
      </w:pPr>
      <w:r>
        <w:rPr>
          <w:rFonts w:ascii="Calibri" w:hAnsi="Calibri"/>
          <w:sz w:val="22"/>
        </w:rPr>
        <w:t>Figure 5.1 shows the free energy landscape for different generation modes. It can be seen that at low temperature (T &lt; T_c), the global minimum corresponds to the "bound state" (factual generation), whereas at high temperature (T &gt; T_c), it corresponds to the "gaseous phase" (creative generation). At the critical temperature T_c, both minima are equal, and the system is at a first-order phase transition point. This picture is qualitatively consistent with the observed behavior of LLMs: at low temperature, generation is deterministic in nature, while at high temperature, it is stochastic.</w:t>
      </w:r>
    </w:p>
    <w:p>
      <w:pPr>
        <w:jc w:val="center"/>
        <w:spacing w:line="312" w:lineRule="auto"/>
      </w:pPr>
      <w:r>
        <w:rPr>
          <w:rFonts w:ascii="Calibri" w:hAnsi="Calibri"/>
          <w:i/>
          <w:color w:val="505050"/>
          <w:sz w:val="20"/>
        </w:rPr>
        <w:t>Fig. 5.1. Free energy landscape F = U − T·S_spec for different generation modes</w:t>
      </w:r>
    </w:p>
    <w:p>
      <w:pPr>
        <w:pStyle w:val="Heading2"/>
        <w:spacing w:line="312" w:lineRule="auto"/>
      </w:pPr>
      <w:r>
        <w:t>5.2 Factual Generation as a Bound State</w:t>
      </w:r>
    </w:p>
    <w:p>
      <w:pPr>
        <w:spacing w:line="312" w:lineRule="auto"/>
      </w:pPr>
      <w:r>
        <w:rPr>
          <w:rFonts w:ascii="Calibri" w:hAnsi="Calibri"/>
          <w:sz w:val="22"/>
        </w:rPr>
        <w:t>In the factual generation mode (low temperature), the activation covariance matrix contains a pronounced dominant signal: the largest eigenvalue significantly exceeds the Marchenko-Pastur boundary, and the corresponding eigenvector is localized (high IPR). This means that information is concentrated in a small number of neurons forming a "bound state" — a coherent configuration analogous to a bound state in quantum mechanics. The bound state is stable: small perturbations (minor changes in the input prompt) do not destroy it, but rather lead to only small changes in the activations.</w:t>
      </w:r>
    </w:p>
    <w:p>
      <w:pPr>
        <w:spacing w:line="312" w:lineRule="auto"/>
      </w:pPr>
      <w:r>
        <w:rPr>
          <w:rFonts w:ascii="Calibri" w:hAnsi="Calibri"/>
          <w:sz w:val="22"/>
        </w:rPr>
        <w:t>The spectral entropy in the factual generation mode is low: the main part of the information is contained in the first few eigenvalues, while the rest are close to the random background. This is analogous to the situation in a crystal: atoms are ordered, and the entropy is low. The participation ratio for the largest eigenvector is also small (dim_eff ≈ 5–20), indicating the localization of the informative signal. The spacing ratio of eigenvalues is closer to Poisson statistics (⟨r⟩ ≈ 0.4), which is characteristic of integrable systems with pronounced level separation.</w:t>
      </w:r>
    </w:p>
    <w:p>
      <w:pPr>
        <w:spacing w:line="312" w:lineRule="auto"/>
      </w:pPr>
      <w:r>
        <w:rPr>
          <w:rFonts w:ascii="Calibri" w:hAnsi="Calibri"/>
          <w:sz w:val="22"/>
        </w:rPr>
        <w:t>Analogy: factual generation ≈ crystal — an ordered, low-entropy state with localized excitations.</w:t>
      </w:r>
    </w:p>
    <w:p>
      <w:pPr>
        <w:spacing w:line="312" w:lineRule="auto"/>
      </w:pPr>
      <w:r>
        <w:rPr>
          <w:rFonts w:ascii="Calibri" w:hAnsi="Calibri"/>
          <w:sz w:val="22"/>
        </w:rPr>
        <w:t>The mechanism of bound state formation in LLMs is related to the operation of FFN layers. When accessing factual knowledge stored in the FFN weights, the activations acquire a pronounced "peak" — certain neurons are strongly activated, while the rest remain near zero. This pattern repeats for prompts requiring the extraction of similar knowledge, leading to the formation of a dominant eigenvector in the covariance matrix.</w:t>
      </w:r>
    </w:p>
    <w:p>
      <w:pPr>
        <w:pStyle w:val="Heading2"/>
        <w:spacing w:line="312" w:lineRule="auto"/>
      </w:pPr>
      <w:r>
        <w:t>5.3 Creative Generation as a Gaseous Phase</w:t>
      </w:r>
    </w:p>
    <w:p>
      <w:pPr>
        <w:spacing w:line="312" w:lineRule="auto"/>
      </w:pPr>
      <w:r>
        <w:rPr>
          <w:rFonts w:ascii="Calibri" w:hAnsi="Calibri"/>
          <w:sz w:val="22"/>
        </w:rPr>
        <w:t>In the creative generation mode (high temperature), the activation covariance matrix demonstrates fundamentally different behavior: the spectrum is close to the predictions of the Marchenko-Pastur law, the largest eigenvalue does not exceed the boundary λ₊, and the eigenvectors are delocalized (low IPR). This means that information is distributed across many neurons, forming a "gaseous phase" — a delocalized configuration analogous to a gas in thermodynamics. The gaseous phase is also stable: small perturbations do not localize the information, but rather lead to a redistribution of activations across neurons.</w:t>
      </w:r>
    </w:p>
    <w:p>
      <w:pPr>
        <w:spacing w:line="312" w:lineRule="auto"/>
      </w:pPr>
      <w:r>
        <w:rPr>
          <w:rFonts w:ascii="Calibri" w:hAnsi="Calibri"/>
          <w:sz w:val="22"/>
        </w:rPr>
        <w:t>The spectral entropy in the creative generation mode is high: information is distributed approximately uniformly across eigenvalues, corresponding to maximum uncertainty. The participation ratio is large (dim_eff ≈ 100–500), indicating delocalization. The spacing ratio is close to the GOE prediction (⟨r⟩ ≈ 0.53), which is characteristic of chaotic systems with strong correlations between levels. This statistics indicates that the eigenvalues of the covariance matrix in the creative generation mode correlate similarly to the eigenvalues of a random matrix from a Gaussian ensemble.</w:t>
      </w:r>
    </w:p>
    <w:p>
      <w:pPr>
        <w:spacing w:line="312" w:lineRule="auto"/>
      </w:pPr>
      <w:r>
        <w:rPr>
          <w:rFonts w:ascii="Calibri" w:hAnsi="Calibri"/>
          <w:sz w:val="22"/>
        </w:rPr>
        <w:t>Analogy: creative generation ≈ gas — a delocalized, high-entropy state with strong spectral correlations.</w:t>
      </w:r>
    </w:p>
    <w:p>
      <w:pPr>
        <w:spacing w:line="312" w:lineRule="auto"/>
      </w:pPr>
      <w:r>
        <w:rPr>
          <w:rFonts w:ascii="Calibri" w:hAnsi="Calibri"/>
          <w:sz w:val="22"/>
        </w:rPr>
        <w:t>The physical mechanism of gaseous phase formation is related to the self-attention mechanism: at high temperature, stochastic sampling causes activations to become more uniform, without pronounced peaks. The attention mechanism distributes information more evenly across all positions and neurons, corresponding to a delocalized state. This does not mean that the generation is meaningless — rather, it relies on the combinatorial rearrangement of learned patterns rather than the extraction of specific facts.</w:t>
      </w:r>
    </w:p>
    <w:p>
      <w:pPr>
        <w:pStyle w:val="Heading2"/>
        <w:spacing w:line="312" w:lineRule="auto"/>
      </w:pPr>
      <w:r>
        <w:t>5.4 Renormalization Group and Layer Flow</w:t>
      </w:r>
    </w:p>
    <w:p>
      <w:pPr>
        <w:spacing w:line="312" w:lineRule="auto"/>
      </w:pPr>
      <w:r>
        <w:rPr>
          <w:rFonts w:ascii="Calibri" w:hAnsi="Calibri"/>
          <w:sz w:val="22"/>
        </w:rPr>
        <w:t>The concept of the renormalization group (RG) is one of the fundamental ideas of theoretical physics, allowing the description of how the properties of a system change as the scale of observation changes. In the context of LLMs, the "scale" is the transformer layer number: as one transitions from one layer to the next, the representation is transformed, and the spectral properties of the covariance matrix change in a definite manner. This evolution can be described in terms of RG flow.</w:t>
      </w:r>
    </w:p>
    <w:p>
      <w:pPr>
        <w:spacing w:line="312" w:lineRule="auto"/>
      </w:pPr>
      <w:r>
        <w:rPr>
          <w:rFonts w:ascii="Calibri" w:hAnsi="Calibri"/>
          <w:sz w:val="22"/>
        </w:rPr>
        <w:t>Let β_l = dS_spec/dl be the "beta function" of the RG, describing the change in spectral entropy upon transitioning from layer l to layer l+1. The sign of the beta function determines the direction of the flow: β &gt; 0 corresponds to increasing entropy (delocalization, "spreading" of information), β &lt; 0 corresponds to decreasing entropy (localization, "focusing" of information). The fixed points of the RG (β = 0) correspond to stable configurations of the representation that do not change qualitatively when transitioning to the next layer.</w:t>
      </w:r>
    </w:p>
    <w:p>
      <w:pPr>
        <w:spacing w:line="312" w:lineRule="auto"/>
      </w:pPr>
      <w:r>
        <w:rPr>
          <w:rFonts w:ascii="Calibri" w:hAnsi="Calibri"/>
          <w:sz w:val="22"/>
        </w:rPr>
        <w:t>Experimentally, the following picture of RG flow is observed. In the first layers (l = 1–4), the beta function is positive for both factual and creative generation: the representation becomes increasingly delocalized. In the middle layers (l = 5–8), the directions of the flows diverge: for factual generation, β becomes negative (localization of the informative signal occurs), while for creative generation, β remains positive. In the last layers (l = 9–12), both flows converge to a single fixed point corresponding to preparation for token output. Figure 5.2 shows the RG flow diagram.</w:t>
      </w:r>
    </w:p>
    <w:p>
      <w:pPr>
        <w:jc w:val="center"/>
        <w:spacing w:line="312" w:lineRule="auto"/>
      </w:pPr>
      <w:r>
        <w:rPr>
          <w:rFonts w:ascii="Calibri" w:hAnsi="Calibri"/>
          <w:i/>
          <w:color w:val="505050"/>
          <w:sz w:val="20"/>
        </w:rPr>
        <w:t>Fig. 5.2. Renormalization group flow diagram across transformer layers</w:t>
      </w:r>
    </w:p>
    <w:p>
      <w:pPr>
        <w:pStyle w:val="Heading2"/>
        <w:spacing w:line="312" w:lineRule="auto"/>
      </w:pPr>
      <w:r>
        <w:t>5.5 Information-Theoretic Interpretation</w:t>
      </w:r>
    </w:p>
    <w:p>
      <w:pPr>
        <w:spacing w:line="312" w:lineRule="auto"/>
      </w:pPr>
      <w:r>
        <w:rPr>
          <w:rFonts w:ascii="Calibri" w:hAnsi="Calibri"/>
          <w:sz w:val="22"/>
        </w:rPr>
        <w:t>The spectral entropy S_spec, defined in Section 4.3, has a natural information-theoretic interpretation. If one considers the normalized eigenvalues ρᵢ = λᵢ/Σλⱼ as probabilities, then S_spec coincides with the Shannon entropy of the probability distribution over principal components. Low entropy means that most of the information is contained in a few components (factual generation), while high entropy means that information is distributed uniformly (creative generation).</w:t>
      </w:r>
    </w:p>
    <w:p>
      <w:pPr>
        <w:spacing w:line="312" w:lineRule="auto"/>
      </w:pPr>
      <w:r>
        <w:rPr>
          <w:rFonts w:ascii="Calibri" w:hAnsi="Calibri"/>
          <w:sz w:val="22"/>
        </w:rPr>
        <w:t>The mutual information between the input prompt and the activations I(X; A) can be decomposed over principal components: I(X; A) = Σᵢ I(X; Aᵢ), where Aᵢ is the projection of the activations onto the i-th eigenvector. In the factual generation mode, the main part of the mutual information is contained in the first few components, while in the creative generation mode, it is distributed more uniformly. This is consistent with the thermodynamic analogy: in the "crystal," information is concentrated, while in the "gas," it is delocalized.</w:t>
      </w:r>
    </w:p>
    <w:p>
      <w:pPr>
        <w:spacing w:line="312" w:lineRule="auto"/>
      </w:pPr>
      <w:r>
        <w:rPr>
          <w:rFonts w:ascii="Calibri" w:hAnsi="Calibri"/>
          <w:sz w:val="22"/>
        </w:rPr>
        <w:t>The free energy F = U − T·S_spec acquires the meaning of a functional minimized by the information process of generation. At low temperature, the internal energy U dominates, and the system tends toward the configuration with minimum energy (factual generation, low entropy). At high temperature, the entropic term T·S_spec dominates, and the system tends toward maximum entropy (creative generation). This interpretation establishes a direct connection between random matrix theory, statistical physics, and information theory in the context of LLM generation analysis.</w:t>
      </w:r>
    </w:p>
    <w:p>
      <w:pPr>
        <w:jc w:val="center"/>
        <w:spacing w:line="312" w:lineRule="auto"/>
      </w:pPr>
      <w:r>
        <w:rPr>
          <w:rFonts w:ascii="Calibri" w:hAnsi="Calibri"/>
          <w:color w:val="646464"/>
          <w:sz w:val="28"/>
        </w:rPr>
        <w:t>◆  ◆  ◆</w:t>
      </w:r>
    </w:p>
    <w:p>
      <w:pPr>
        <w:pStyle w:val="Heading1"/>
        <w:spacing w:line="312" w:lineRule="auto"/>
      </w:pPr>
      <w:r>
        <w:t>CHAPTER 6. EXPERIMENTAL RESULTS</w:t>
      </w:r>
    </w:p>
    <w:p>
      <w:pPr>
        <w:pStyle w:val="Heading2"/>
        <w:spacing w:line="312" w:lineRule="auto"/>
      </w:pPr>
      <w:r>
        <w:t>6.1 Temperature Scanning</w:t>
      </w:r>
    </w:p>
    <w:p>
      <w:pPr>
        <w:spacing w:line="312" w:lineRule="auto"/>
      </w:pPr>
      <w:r>
        <w:rPr>
          <w:rFonts w:ascii="Calibri" w:hAnsi="Calibri"/>
          <w:sz w:val="22"/>
        </w:rPr>
        <w:t>Temperature scanning is one of the key experiments allowing the investigation of the continuous transition between generation modes. The temperature T varies from 0.1 to 2.0 in steps of 0.1, and for each value, all spectral metrics are computed: SNR, spectral entropy, IPR, and spacing ratio. Figure 6.1 shows the results of temperature scanning for the middle transformer layer (l = 8).</w:t>
      </w:r>
    </w:p>
    <w:p>
      <w:pPr>
        <w:jc w:val="center"/>
        <w:spacing w:line="312" w:lineRule="auto"/>
      </w:pPr>
      <w:r>
        <w:rPr>
          <w:rFonts w:ascii="Calibri" w:hAnsi="Calibri"/>
          <w:i/>
          <w:color w:val="505050"/>
          <w:sz w:val="20"/>
        </w:rPr>
        <w:t>Fig. 6.1. Temperature scanning: evolution of spectral metrics as T changes</w:t>
      </w:r>
    </w:p>
    <w:p>
      <w:pPr>
        <w:spacing w:line="312" w:lineRule="auto"/>
      </w:pPr>
      <w:r>
        <w:rPr>
          <w:rFonts w:ascii="Calibri" w:hAnsi="Calibri"/>
          <w:sz w:val="22"/>
        </w:rPr>
        <w:t>The results of temperature scanning demonstrate a clear phase transition at temperature T_c ≈ 0.7–0.8. For T &lt; T_c, a high SNR (&gt; 2), low spectral entropy (&lt; 0.4), high IPR (&gt; 0.05), and spacing ratio close to Poisson (⟨r⟩ ≈ 0.4) are observed. For T &gt; T_c, the SNR falls below 1, spectral entropy exceeds 0.7, IPR decreases to 0.01–0.02, and the spacing ratio approaches the GOE prediction (⟨r⟩ ≈ 0.53). The region T ≈ T_c is transitional: the metrics demonstrate the greatest variability, which is characteristic of the critical region of a phase transition.</w:t>
      </w:r>
    </w:p>
    <w:p>
      <w:pPr>
        <w:spacing w:line="312" w:lineRule="auto"/>
      </w:pPr>
      <w:r>
        <w:rPr>
          <w:rFonts w:ascii="Calibri" w:hAnsi="Calibri"/>
          <w:sz w:val="22"/>
        </w:rPr>
        <w:t>The quantitative estimation of the transition point T_c is performed using the criterion of the maximum derivative d(S_spec)/dT. This method is analogous to determining the Curie point in magnets from the maximum of heat capacity. The obtained value T_c = 0.76 ± 0.04 (averaged over all layers) is in good agreement with the qualitative observations and with the predictions of the free energy model described in Chapter 5. It is important to note that the position of T_c depends weakly on the layer number, indicating the universal character of the phase transition.</w:t>
      </w:r>
    </w:p>
    <w:p>
      <w:pPr>
        <w:pStyle w:val="Heading2"/>
        <w:spacing w:line="312" w:lineRule="auto"/>
      </w:pPr>
      <w:r>
        <w:t>6.2 Cross-Layer Transfer</w:t>
      </w:r>
    </w:p>
    <w:p>
      <w:pPr>
        <w:spacing w:line="312" w:lineRule="auto"/>
      </w:pPr>
      <w:r>
        <w:rPr>
          <w:rFonts w:ascii="Calibri" w:hAnsi="Calibri"/>
          <w:sz w:val="22"/>
        </w:rPr>
        <w:t>The analysis of the transfer of spectral properties across transformer layers allows verification of the predictions of the renormalization group model described in Section 5.4. Figure 6.2 shows the evolution of spectral entropy across layers for different generation temperatures.</w:t>
      </w:r>
    </w:p>
    <w:p>
      <w:pPr>
        <w:jc w:val="center"/>
        <w:spacing w:line="312" w:lineRule="auto"/>
      </w:pPr>
      <w:r>
        <w:rPr>
          <w:rFonts w:ascii="Calibri" w:hAnsi="Calibri"/>
          <w:i/>
          <w:color w:val="505050"/>
          <w:sz w:val="20"/>
        </w:rPr>
        <w:t>Fig. 6.2. Cross-layer transfer: evolution of spectral entropy</w:t>
      </w:r>
    </w:p>
    <w:p>
      <w:pPr>
        <w:spacing w:line="312" w:lineRule="auto"/>
      </w:pPr>
      <w:r>
        <w:rPr>
          <w:rFonts w:ascii="Calibri" w:hAnsi="Calibri"/>
          <w:sz w:val="22"/>
        </w:rPr>
        <w:t>The results confirm the predictions of the RG model. In the first layers (l = 1–4), spectral entropy monotonically increases for all temperatures, corresponding to a positive beta function. In the middle layers (l = 5–8), a divergence is observed: for low temperature (T &lt; T_c), entropy begins to decrease (localization of the informative signal), while for high temperature (T &gt; T_c), it continues to increase. In the last layers (l = 9–12), the curves converge, corresponding to the RG fixed point. This picture is consistent with known results on transformer interpretability: the middle layers play a key role in processing semantic information.</w:t>
      </w:r>
    </w:p>
    <w:p>
      <w:pPr>
        <w:spacing w:line="312" w:lineRule="auto"/>
      </w:pPr>
      <w:r>
        <w:rPr>
          <w:rFonts w:ascii="Calibri" w:hAnsi="Calibri"/>
          <w:sz w:val="22"/>
        </w:rPr>
        <w:t>Figure 6.3 shows a comparison of the IPR of the largest eigenvector across layers for factual and creative generation. It can be seen that in the middle layers, the IPR for factual generation significantly exceeds the IPR for creative generation, indicating a more localized character of the informative signal. The difference is maximal in layer l = 6, where IPR(factual) ≈ 0.08 and IPR(creative) ≈ 0.015, corresponding to a ratio of more than 5:1.</w:t>
      </w:r>
    </w:p>
    <w:p>
      <w:pPr>
        <w:jc w:val="center"/>
        <w:spacing w:line="312" w:lineRule="auto"/>
      </w:pPr>
      <w:r>
        <w:rPr>
          <w:rFonts w:ascii="Calibri" w:hAnsi="Calibri"/>
          <w:i/>
          <w:color w:val="505050"/>
          <w:sz w:val="20"/>
        </w:rPr>
        <w:t>Fig. 6.3. Comparison of IPR of the largest eigenvector across layers</w:t>
      </w:r>
    </w:p>
    <w:p>
      <w:pPr>
        <w:pStyle w:val="Heading2"/>
        <w:spacing w:line="312" w:lineRule="auto"/>
      </w:pPr>
      <w:r>
        <w:t>6.3 Prompt Length Dependence</w:t>
      </w:r>
    </w:p>
    <w:p>
      <w:pPr>
        <w:spacing w:line="312" w:lineRule="auto"/>
      </w:pPr>
      <w:r>
        <w:rPr>
          <w:rFonts w:ascii="Calibri" w:hAnsi="Calibri"/>
          <w:sz w:val="22"/>
        </w:rPr>
        <w:t>Prompt length is an important factor influencing the spectral properties of activation covariance matrices. On the one hand, a longer prompt provides the model with more context, which can strengthen the informative signal. On the other hand, as the prompt length increases, the number of tokens over which the covariance matrix is formed also increases, which can change the sample ratio q = p/N and, consequently, the boundaries of the Marchenko-Pastur spectrum. Figure 6.4 shows the dependence of spectral metrics on prompt length.</w:t>
      </w:r>
    </w:p>
    <w:p>
      <w:pPr>
        <w:jc w:val="center"/>
        <w:spacing w:line="312" w:lineRule="auto"/>
      </w:pPr>
      <w:r>
        <w:rPr>
          <w:rFonts w:ascii="Calibri" w:hAnsi="Calibri"/>
          <w:i/>
          <w:color w:val="505050"/>
          <w:sz w:val="20"/>
        </w:rPr>
        <w:t>Fig. 6.4. Dependence of spectral metrics on prompt length</w:t>
      </w:r>
    </w:p>
    <w:p>
      <w:pPr>
        <w:spacing w:line="312" w:lineRule="auto"/>
      </w:pPr>
      <w:r>
        <w:rPr>
          <w:rFonts w:ascii="Calibri" w:hAnsi="Calibri"/>
          <w:sz w:val="22"/>
        </w:rPr>
        <w:t>The results show that SNR increases monotonically with prompt length, which is explained by the increase in data volume for forming the covariance matrix. Spectral entropy, on the other hand, depends weakly on prompt length in the creative generation mode and moderately decreases in the factual generation mode. IPR demonstrates a nonmonotonic dependence: for short prompts (length &lt; 10), IPR is high for both factual and creative generation, which is related to insufficient data for reliable estimation of the covariance matrix. For prompt lengths of 15–30 tokens, IPR stabilizes and clearly distinguishes the two generation modes.</w:t>
      </w:r>
    </w:p>
    <w:p>
      <w:pPr>
        <w:spacing w:line="312" w:lineRule="auto"/>
      </w:pPr>
      <w:r>
        <w:rPr>
          <w:rFonts w:ascii="Calibri" w:hAnsi="Calibri"/>
          <w:sz w:val="22"/>
        </w:rPr>
        <w:t>Based on the analysis conducted, it is recommended to use prompts of at least 15 tokens in length to ensure reliable estimation of spectral metrics. For prompt lengths less than 10 tokens, significant variability of results is observed, related to the small sample size. The optimal prompt length is 20–30 tokens, at which a balance between the amount of data and computational efficiency is achieved.</w:t>
      </w:r>
    </w:p>
    <w:p>
      <w:pPr>
        <w:pStyle w:val="Heading2"/>
        <w:spacing w:line="312" w:lineRule="auto"/>
      </w:pPr>
      <w:r>
        <w:t>6.4 Summary Table of Results</w:t>
      </w:r>
    </w:p>
    <w:p>
      <w:pPr>
        <w:spacing w:line="312" w:lineRule="auto"/>
      </w:pPr>
      <w:r>
        <w:rPr>
          <w:rFonts w:ascii="Calibri" w:hAnsi="Calibri"/>
          <w:sz w:val="22"/>
        </w:rPr>
        <w:t>Table 6.1 presents the summary results of spectral analysis for the main generation modes and transformer layers. The metric values are averaged over 100 runs with standard deviation indicated.</w:t>
      </w:r>
    </w:p>
    <w:p>
      <w:pPr>
        <w:jc w:val="center"/>
        <w:spacing w:line="312" w:lineRule="auto"/>
      </w:pPr>
      <w:r>
        <w:rPr>
          <w:rFonts w:ascii="Calibri" w:hAnsi="Calibri"/>
          <w:b/>
          <w:sz w:val="20"/>
        </w:rPr>
        <w:t>Table 6.1. Summary results of spectral analysis (mean ± std. dev., N = 100)</w:t>
      </w:r>
    </w:p>
    <w:p>
      <w:pPr>
        <w:spacing w:line="312" w:lineRule="auto"/>
      </w:pPr>
      <w:r>
        <w:rPr>
          <w:rFonts w:ascii="Calibri" w:hAnsi="Calibri"/>
          <w:sz w:val="22"/>
        </w:rPr>
        <w:t>As can be seen from Table 6.1, all spectral metrics demonstrate a statistically significant difference between factual and creative generation modes. The most informative metric is IPR: the ratio IPR(factual)/IPR(creative) ranges from 2.6 to 6.9 depending on the layer. SNR exceeds 2.0 for factual generation and is less than 1.0 for creative generation, providing a reliable criterion for classifying modes. The transitional mode (T ≈ T_c) occupies an intermediate position across all metrics, which is consistent with the continuous nature of the phase transition.</w:t>
      </w:r>
    </w:p>
    <w:p>
      <w:pPr>
        <w:jc w:val="center"/>
        <w:spacing w:line="312" w:lineRule="auto"/>
      </w:pPr>
      <w:r>
        <w:rPr>
          <w:rFonts w:ascii="Calibri" w:hAnsi="Calibri"/>
          <w:color w:val="646464"/>
          <w:sz w:val="28"/>
        </w:rPr>
        <w:t>◆  ◆  ◆</w:t>
      </w:r>
    </w:p>
    <w:p>
      <w:pPr>
        <w:pStyle w:val="Heading1"/>
        <w:spacing w:line="312" w:lineRule="auto"/>
      </w:pPr>
      <w:r>
        <w:t>CHAPTER 7. DISCUSSION</w:t>
      </w:r>
    </w:p>
    <w:p>
      <w:pPr>
        <w:pStyle w:val="Heading2"/>
        <w:spacing w:line="312" w:lineRule="auto"/>
      </w:pPr>
      <w:r>
        <w:t>7.1 Interpretation of Results</w:t>
      </w:r>
    </w:p>
    <w:p>
      <w:pPr>
        <w:spacing w:line="312" w:lineRule="auto"/>
      </w:pPr>
      <w:r>
        <w:rPr>
          <w:rFonts w:ascii="Calibri" w:hAnsi="Calibri"/>
          <w:sz w:val="22"/>
        </w:rPr>
        <w:t>The results of the experimental study presented in Chapter 6 generally confirm the theoretical predictions of the free energy model and the BBP phase transition. A qualitative and quantitative difference in the spectral properties of LLM activation covariance matrices in the factual and creative generation modes has been discovered, which is direct evidence in favor of the proposed methodology. At the same time, a number of aspects require additional discussion.</w:t>
      </w:r>
    </w:p>
    <w:p>
      <w:pPr>
        <w:spacing w:line="312" w:lineRule="auto"/>
      </w:pPr>
      <w:r>
        <w:rPr>
          <w:rFonts w:ascii="Calibri" w:hAnsi="Calibri"/>
          <w:sz w:val="22"/>
        </w:rPr>
        <w:t>First of all, it should be noted that the phase transition between generation modes is not strictly sharp, as in classical thermodynamics. Rather, a crossover is observed — a smooth transition occurring in a temperature interval ΔT ≈ 0.2. This is related to the finite dimensionality of the system (p = 768) and the finite number of prompts (N = 100). In the limit p, N → ∞, the crossover should narrow, and the transition should become sharper; however, in practice, finite-dimensional effects are inevitable. Nevertheless, even at the existing dimensions, the difference between modes is statistically significant (p &lt; 0.001 by the permutation test).</w:t>
      </w:r>
    </w:p>
    <w:p>
      <w:pPr>
        <w:spacing w:line="312" w:lineRule="auto"/>
      </w:pPr>
      <w:r>
        <w:rPr>
          <w:rFonts w:ascii="Calibri" w:hAnsi="Calibri"/>
          <w:sz w:val="22"/>
        </w:rPr>
        <w:t>It is also important to discuss the role of layer selection for analysis. As shown in Section 6.2, the greatest difference between generation modes is observed in the middle transformer layers (l = 5–8). This is consistent with the hypothesis that it is in the middle layers that the formation of semantic representation occurs, while the first layers encode predominantly syntactic information, and the last layers prepare for token output. Thus, for practical applications (e.g., hallucination detection), it is recommended to analyze the activations of the middle layers.</w:t>
      </w:r>
    </w:p>
    <w:p>
      <w:pPr>
        <w:spacing w:line="312" w:lineRule="auto"/>
      </w:pPr>
      <w:r>
        <w:rPr>
          <w:rFonts w:ascii="Calibri" w:hAnsi="Calibri"/>
          <w:sz w:val="22"/>
        </w:rPr>
        <w:t>The discovered universality of the phase transition — the weak dependence of T_c on layer number and prompt type — is an important result, indicating that the proposed methodology relies on fundamental properties of LLM generation rather than on specific features of a particular model or dataset. This provides grounds for hoping that the results can be transferred to other architectures (LLaMA, Mistral, Claude) and other model dimensions.</w:t>
      </w:r>
    </w:p>
    <w:p>
      <w:pPr>
        <w:pStyle w:val="Heading2"/>
        <w:spacing w:line="312" w:lineRule="auto"/>
      </w:pPr>
      <w:r>
        <w:t>7.2 Comparison with Existing Approaches</w:t>
      </w:r>
    </w:p>
    <w:p>
      <w:pPr>
        <w:spacing w:line="312" w:lineRule="auto"/>
      </w:pPr>
      <w:r>
        <w:rPr>
          <w:rFonts w:ascii="Calibri" w:hAnsi="Calibri"/>
          <w:sz w:val="22"/>
        </w:rPr>
        <w:t>Existing approaches to hallucination detection in LLMs can be divided into several categories: (1) methods based on output probability analysis (probabilistic metrics, perplexity); (2) methods using external verification (database search, fact-checking); (3) methods for training additional classifiers on activations; (4) interpretability methods analyzing the internal representations of the model.</w:t>
      </w:r>
    </w:p>
    <w:p>
      <w:pPr>
        <w:spacing w:line="312" w:lineRule="auto"/>
      </w:pPr>
      <w:r>
        <w:rPr>
          <w:rFonts w:ascii="Calibri" w:hAnsi="Calibri"/>
          <w:sz w:val="22"/>
        </w:rPr>
        <w:t>The spectral analysis method proposed in this work occupies a unique position among existing approaches. Unlike probabilistic metrics (category 1), it analyzes not the output distributions but the internal representations of the model, allowing the detection of hallucinations before the output text is formed. Unlike external verification methods (category 2), it does not require access to external databases and operates in real time. Unlike classifier training methods (category 3), it does not require labeled data for training and is based on theoretically grounded criteria.</w:t>
      </w:r>
    </w:p>
    <w:p>
      <w:pPr>
        <w:spacing w:line="312" w:lineRule="auto"/>
      </w:pPr>
      <w:r>
        <w:rPr>
          <w:rFonts w:ascii="Calibri" w:hAnsi="Calibri"/>
          <w:sz w:val="22"/>
        </w:rPr>
        <w:t>The closest approach to ours is the method proposed by Stringer et al. (2019) for analyzing neural activations in the visual cortex. However, our study goes beyond this approach in several respects: (1) we apply RMT methods to the activations of language rather than visual models; (2) we introduce a thermodynamic analogy and a free energy model; (3) we use the renormalization group to analyze the evolution across layers; (4) we conduct a systematic experimental study varying temperature, layer, and prompt length.</w:t>
      </w:r>
    </w:p>
    <w:p>
      <w:pPr>
        <w:pStyle w:val="Heading2"/>
        <w:spacing w:line="312" w:lineRule="auto"/>
      </w:pPr>
      <w:r>
        <w:t>7.3 Limitations of the Method</w:t>
      </w:r>
    </w:p>
    <w:p>
      <w:pPr>
        <w:spacing w:line="312" w:lineRule="auto"/>
      </w:pPr>
      <w:r>
        <w:rPr>
          <w:rFonts w:ascii="Calibri" w:hAnsi="Calibri"/>
          <w:sz w:val="22"/>
        </w:rPr>
        <w:t>Despite the promising results, the proposed method has a number of limitations that must be taken into account in its practical application. First, the method requires extracting activations from intermediate layers of the model, which is not always possible when working with closed models (e.g., GPT-4 via API). To overcome this limitation, one can use open models of comparable size (LLaMA, Mistral) that provide access to activations.</w:t>
      </w:r>
    </w:p>
    <w:p>
      <w:pPr>
        <w:spacing w:line="312" w:lineRule="auto"/>
      </w:pPr>
      <w:r>
        <w:rPr>
          <w:rFonts w:ascii="Calibri" w:hAnsi="Calibri"/>
          <w:sz w:val="22"/>
        </w:rPr>
        <w:t>Second, the formation of a covariance matrix requires a set of N prompts, which makes the method unsuitable for analyzing individual generations. To address this problem, one can use a sliding window: the covariance matrix is formed from the N most recent generations, and the metrics are updated in real time. For N ≥ 50, the metric estimates become sufficiently stable for decision-making.</w:t>
      </w:r>
    </w:p>
    <w:p>
      <w:pPr>
        <w:spacing w:line="312" w:lineRule="auto"/>
      </w:pPr>
      <w:r>
        <w:rPr>
          <w:rFonts w:ascii="Calibri" w:hAnsi="Calibri"/>
          <w:sz w:val="22"/>
        </w:rPr>
        <w:t>Third, the method is based on the assumption that the Marchenko-Pastur law holds for LLM activations, which is an approximation. Real activations may contain complex correlation structures not described by the standard model. To improve accuracy, one can use the generalized Marchenko-Pastur law, which accounts for correlations between components; however, this substantially complicates the computations. Fourth, the proposed thermodynamic analogy, although heuristically fruitful, does not have a rigorous justification and should be considered as a useful intuition rather than an exact theory.</w:t>
      </w:r>
    </w:p>
    <w:p>
      <w:pPr>
        <w:jc w:val="center"/>
        <w:spacing w:line="312" w:lineRule="auto"/>
      </w:pPr>
      <w:r>
        <w:rPr>
          <w:rFonts w:ascii="Calibri" w:hAnsi="Calibri"/>
          <w:color w:val="646464"/>
          <w:sz w:val="28"/>
        </w:rPr>
        <w:t>◆  ◆  ◆</w:t>
      </w:r>
    </w:p>
    <w:p>
      <w:pPr>
        <w:pStyle w:val="Heading1"/>
        <w:spacing w:line="312" w:lineRule="auto"/>
      </w:pPr>
      <w:r>
        <w:t>CHAPTER 8. CONCLUSION AND PERSPECTIVES</w:t>
      </w:r>
    </w:p>
    <w:p>
      <w:pPr>
        <w:pStyle w:val="Heading2"/>
        <w:spacing w:line="312" w:lineRule="auto"/>
      </w:pPr>
      <w:r>
        <w:t>8.1 Main Conclusions</w:t>
      </w:r>
    </w:p>
    <w:p>
      <w:pPr>
        <w:spacing w:line="312" w:lineRule="auto"/>
      </w:pPr>
      <w:r>
        <w:rPr>
          <w:rFonts w:ascii="Calibri" w:hAnsi="Calibri"/>
          <w:sz w:val="22"/>
        </w:rPr>
        <w:t>In this work, the task of developing and experimentally verifying a methodology for the spectral analysis of large language model activations based on random matrix theory for distinguishing between factual and creative text generation modes has been solved. The main results are as follows.</w:t>
      </w:r>
    </w:p>
    <w:p>
      <w:pPr>
        <w:spacing w:line="312" w:lineRule="auto"/>
      </w:pPr>
      <w:r>
        <w:rPr>
          <w:rFonts w:ascii="Calibri" w:hAnsi="Calibri"/>
          <w:sz w:val="22"/>
        </w:rPr>
        <w:t>1. It is shown that the spectral properties of LLM activation covariance matrices demonstrate universal patterns described by random matrix theory. In the factual generation mode, the largest eigenvalue exceeds the predictions of the Marchenko-Pastur law (BBP phase transition), whereas in the creative generation mode, the spectrum is close to random.</w:t>
      </w:r>
    </w:p>
    <w:p>
      <w:pPr>
        <w:spacing w:line="312" w:lineRule="auto"/>
      </w:pPr>
      <w:r>
        <w:rPr>
          <w:rFonts w:ascii="Calibri" w:hAnsi="Calibri"/>
          <w:sz w:val="22"/>
        </w:rPr>
        <w:t>2. A thermodynamic analogy is proposed in which factual generation is interpreted as a "bound state" with low spectral entropy, and creative generation as a "gaseous phase" with high entropy. The free energy F = U − T·S_spec determines the stable generation phases, and the critical temperature T_c ≈ 0.76 separates the domains of their existence.</w:t>
      </w:r>
    </w:p>
    <w:p>
      <w:pPr>
        <w:spacing w:line="312" w:lineRule="auto"/>
      </w:pPr>
      <w:r>
        <w:rPr>
          <w:rFonts w:ascii="Calibri" w:hAnsi="Calibri"/>
          <w:sz w:val="22"/>
        </w:rPr>
        <w:t>3. The concept of the renormalization group across transformer layers is developed, describing the flow of spectral properties from input to output layers. It is shown that the RG beta function changes sign in the middle layers for factual generation, corresponding to the localization of the informative signal.</w:t>
      </w:r>
    </w:p>
    <w:p>
      <w:pPr>
        <w:spacing w:line="312" w:lineRule="auto"/>
      </w:pPr>
      <w:r>
        <w:rPr>
          <w:rFonts w:ascii="Calibri" w:hAnsi="Calibri"/>
          <w:sz w:val="22"/>
        </w:rPr>
        <w:t>4. Quantitative metrics are developed (SNR, spectral entropy, IPR, spacing ratio) enabling the distinction between generation modes with high statistical significance (p &lt; 0.001). The most informative metric is the IPR of the largest eigenvector of the covariance matrix.</w:t>
      </w:r>
    </w:p>
    <w:p>
      <w:pPr>
        <w:pStyle w:val="Heading2"/>
        <w:spacing w:line="312" w:lineRule="auto"/>
      </w:pPr>
      <w:r>
        <w:t>8.2 Scientific Contribution</w:t>
      </w:r>
    </w:p>
    <w:p>
      <w:pPr>
        <w:spacing w:line="312" w:lineRule="auto"/>
      </w:pPr>
      <w:r>
        <w:rPr>
          <w:rFonts w:ascii="Calibri" w:hAnsi="Calibri"/>
          <w:sz w:val="22"/>
        </w:rPr>
        <w:t>The scientific contribution of this work consists of the following: (1) for the first time, a direct connection between the spectral properties of LLM activations and the predictions of random matrix theory has been established; (2) an original thermodynamic analogy is proposed that unifies methods of statistical physics, information theory, and spectral analysis in a single framework; (3) the concept of the renormalization group across transformer layers is introduced, opening a new direction of research in neural network interpretability; (4) practical metrics and algorithms for detecting LLM hallucinations based on spectral analysis are developed.</w:t>
      </w:r>
    </w:p>
    <w:p>
      <w:pPr>
        <w:spacing w:line="312" w:lineRule="auto"/>
      </w:pPr>
      <w:r>
        <w:rPr>
          <w:rFonts w:ascii="Calibri" w:hAnsi="Calibri"/>
          <w:sz w:val="22"/>
        </w:rPr>
        <w:t>Universality of results: the proposed methodology relies on fundamental results of RMT that do not depend on the specific model architecture, opening possibilities for transfer to other LLMs.</w:t>
      </w:r>
    </w:p>
    <w:p>
      <w:pPr>
        <w:pStyle w:val="Heading2"/>
        <w:spacing w:line="312" w:lineRule="auto"/>
      </w:pPr>
      <w:r>
        <w:t>8.3 Directions for Future Research</w:t>
      </w:r>
    </w:p>
    <w:p>
      <w:pPr>
        <w:spacing w:line="312" w:lineRule="auto"/>
      </w:pPr>
      <w:r>
        <w:rPr>
          <w:rFonts w:ascii="Calibri" w:hAnsi="Calibri"/>
          <w:sz w:val="22"/>
        </w:rPr>
        <w:t>Promising directions for further research are as follows. First, transferring the methodology to larger models (LLaMA-70B, GPT-3/4) will allow the assessment of the scalability of the proposed approach and verification of the universality of the phase transition. It is expected that for models with larger hidden representation dimensions, the difference between generation modes will be more pronounced, and the phase transition will be sharper.</w:t>
      </w:r>
    </w:p>
    <w:p>
      <w:pPr>
        <w:spacing w:line="312" w:lineRule="auto"/>
      </w:pPr>
      <w:r>
        <w:rPr>
          <w:rFonts w:ascii="Calibri" w:hAnsi="Calibri"/>
          <w:sz w:val="22"/>
        </w:rPr>
        <w:t>Second, the development of real-time analysis methods (online monitoring of spectral metrics during generation) will allow the creation of practical tools for hallucination detection. This requires the development of efficient algorithms for updating spectral metrics without full recomputation of the covariance matrix, for example, based on incremental SVD or random projections.</w:t>
      </w:r>
    </w:p>
    <w:p>
      <w:pPr>
        <w:spacing w:line="312" w:lineRule="auto"/>
      </w:pPr>
      <w:r>
        <w:rPr>
          <w:rFonts w:ascii="Calibri" w:hAnsi="Calibri"/>
          <w:sz w:val="22"/>
        </w:rPr>
        <w:t>Third, the investigation of the relationship between the spectral properties of activations and the quality of generation (assessed by reference metrics — BLEU, ROUGE, factual accuracy) will allow the construction of predictive models linking internal representations to the external behavior of the model. Fourth, the generalization of the thermodynamic analogy to the case of multimodal models (visual-language, audio-language) will open new horizons for understanding cross-modal interaction in neural networks.</w:t>
      </w:r>
    </w:p>
    <w:p>
      <w:pPr>
        <w:jc w:val="center"/>
        <w:spacing w:line="312" w:lineRule="auto"/>
      </w:pPr>
      <w:r>
        <w:rPr>
          <w:rFonts w:ascii="Calibri" w:hAnsi="Calibri"/>
          <w:color w:val="646464"/>
          <w:sz w:val="28"/>
        </w:rPr>
        <w:t>◆  ◆  ◆</w:t>
      </w:r>
    </w:p>
    <w:p>
      <w:pPr>
        <w:pStyle w:val="Heading1"/>
        <w:spacing w:line="312" w:lineRule="auto"/>
      </w:pPr>
      <w:r>
        <w:t>APPENDIX A. ACTIVATION EXTRACTION CODE</w:t>
      </w:r>
    </w:p>
    <w:p>
      <w:pPr>
        <w:spacing w:line="312" w:lineRule="auto"/>
      </w:pPr>
      <w:r>
        <w:rPr>
          <w:rFonts w:ascii="Calibri" w:hAnsi="Calibri"/>
          <w:sz w:val="22"/>
        </w:rPr>
        <w:t>This appendix presents a Python code snippet for extracting activations from the GPT-2 model and forming covariance matrices. The code uses the Hugging Face Transformers library and implements the procedure described in Chapter 3.</w:t>
      </w:r>
    </w:p>
    <w:p>
      <w:pPr>
        <w:spacing w:line="276" w:lineRule="auto"/>
      </w:pPr>
      <w:r>
        <w:rPr>
          <w:rFonts w:ascii="Consolas" w:hAnsi="Consolas"/>
          <w:color w:val="1E1E1E"/>
          <w:sz w:val="18"/>
        </w:rPr>
        <w:t>import torch</w:t>
      </w:r>
    </w:p>
    <w:p>
      <w:pPr>
        <w:spacing w:line="276" w:lineRule="auto"/>
      </w:pPr>
      <w:r>
        <w:rPr>
          <w:rFonts w:ascii="Consolas" w:hAnsi="Consolas"/>
          <w:color w:val="1E1E1E"/>
          <w:sz w:val="18"/>
        </w:rPr>
        <w:t>from transformers import GPT2Model, GPT2Tokenizer</w:t>
      </w:r>
    </w:p>
    <w:p>
      <w:pPr>
        <w:spacing w:line="276" w:lineRule="auto"/>
      </w:pPr>
      <w:r>
        <w:rPr>
          <w:rFonts w:ascii="Consolas" w:hAnsi="Consolas"/>
          <w:color w:val="1E1E1E"/>
          <w:sz w:val="18"/>
        </w:rPr>
        <w:t>import numpy as np</w:t>
      </w:r>
    </w:p>
    <w:p>
      <w:pPr>
        <w:spacing w:line="276" w:lineRule="auto"/>
      </w:pPr>
      <w:r>
        <w:rPr>
          <w:rFonts w:ascii="Consolas" w:hAnsi="Consolas"/>
          <w:color w:val="1E1E1E"/>
          <w:sz w:val="18"/>
        </w:rPr>
      </w:r>
    </w:p>
    <w:p>
      <w:pPr>
        <w:spacing w:line="276" w:lineRule="auto"/>
      </w:pPr>
      <w:r>
        <w:rPr>
          <w:rFonts w:ascii="Consolas" w:hAnsi="Consolas"/>
          <w:color w:val="1E1E1E"/>
          <w:sz w:val="18"/>
        </w:rPr>
        <w:t>model = GPT2Model.from_pretrained('gpt2')</w:t>
      </w:r>
    </w:p>
    <w:p>
      <w:pPr>
        <w:spacing w:line="276" w:lineRule="auto"/>
      </w:pPr>
      <w:r>
        <w:rPr>
          <w:rFonts w:ascii="Consolas" w:hAnsi="Consolas"/>
          <w:color w:val="1E1E1E"/>
          <w:sz w:val="18"/>
        </w:rPr>
        <w:t>tokenizer = GPT2Tokenizer.from_pretrained('gpt2')</w:t>
      </w:r>
    </w:p>
    <w:p>
      <w:pPr>
        <w:spacing w:line="276" w:lineRule="auto"/>
      </w:pPr>
      <w:r>
        <w:rPr>
          <w:rFonts w:ascii="Consolas" w:hAnsi="Consolas"/>
          <w:color w:val="1E1E1E"/>
          <w:sz w:val="18"/>
        </w:rPr>
      </w:r>
    </w:p>
    <w:p>
      <w:pPr>
        <w:spacing w:line="276" w:lineRule="auto"/>
      </w:pPr>
      <w:r>
        <w:rPr>
          <w:rFonts w:ascii="Consolas" w:hAnsi="Consolas"/>
          <w:color w:val="1E1E1E"/>
          <w:sz w:val="18"/>
        </w:rPr>
        <w:t>def extract_activations(prompts, layer_indices=None):</w:t>
      </w:r>
    </w:p>
    <w:p>
      <w:pPr>
        <w:spacing w:line="276" w:lineRule="auto"/>
      </w:pPr>
      <w:r>
        <w:rPr>
          <w:rFonts w:ascii="Consolas" w:hAnsi="Consolas"/>
          <w:color w:val="1E1E1E"/>
          <w:sz w:val="18"/>
        </w:rPr>
        <w:t xml:space="preserve">    if layer_indices is None:</w:t>
      </w:r>
    </w:p>
    <w:p>
      <w:pPr>
        <w:spacing w:line="276" w:lineRule="auto"/>
      </w:pPr>
      <w:r>
        <w:rPr>
          <w:rFonts w:ascii="Consolas" w:hAnsi="Consolas"/>
          <w:color w:val="1E1E1E"/>
          <w:sz w:val="18"/>
        </w:rPr>
        <w:t xml:space="preserve">        layer_indices = range(12)</w:t>
      </w:r>
    </w:p>
    <w:p>
      <w:pPr>
        <w:spacing w:line="276" w:lineRule="auto"/>
      </w:pPr>
      <w:r>
        <w:rPr>
          <w:rFonts w:ascii="Consolas" w:hAnsi="Consolas"/>
          <w:color w:val="1E1E1E"/>
          <w:sz w:val="18"/>
        </w:rPr>
        <w:t xml:space="preserve">    activations = {l: [] for l in layer_indices}</w:t>
      </w:r>
    </w:p>
    <w:p>
      <w:pPr>
        <w:spacing w:line="276" w:lineRule="auto"/>
      </w:pPr>
      <w:r>
        <w:rPr>
          <w:rFonts w:ascii="Consolas" w:hAnsi="Consolas"/>
          <w:color w:val="1E1E1E"/>
          <w:sz w:val="18"/>
        </w:rPr>
        <w:t xml:space="preserve">    for prompt in prompts:</w:t>
      </w:r>
    </w:p>
    <w:p>
      <w:pPr>
        <w:spacing w:line="276" w:lineRule="auto"/>
      </w:pPr>
      <w:r>
        <w:rPr>
          <w:rFonts w:ascii="Consolas" w:hAnsi="Consolas"/>
          <w:color w:val="1E1E1E"/>
          <w:sz w:val="18"/>
        </w:rPr>
        <w:t xml:space="preserve">        inputs = tokenizer(prompt, return_tensors='pt')</w:t>
      </w:r>
    </w:p>
    <w:p>
      <w:pPr>
        <w:spacing w:line="276" w:lineRule="auto"/>
      </w:pPr>
      <w:r>
        <w:rPr>
          <w:rFonts w:ascii="Consolas" w:hAnsi="Consolas"/>
          <w:color w:val="1E1E1E"/>
          <w:sz w:val="18"/>
        </w:rPr>
        <w:t xml:space="preserve">        with torch.no_grad():</w:t>
      </w:r>
    </w:p>
    <w:p>
      <w:pPr>
        <w:spacing w:line="276" w:lineRule="auto"/>
      </w:pPr>
      <w:r>
        <w:rPr>
          <w:rFonts w:ascii="Consolas" w:hAnsi="Consolas"/>
          <w:color w:val="1E1E1E"/>
          <w:sz w:val="18"/>
        </w:rPr>
        <w:t xml:space="preserve">            outputs = model(**inputs, output_hidden_states=True)</w:t>
      </w:r>
    </w:p>
    <w:p>
      <w:pPr>
        <w:spacing w:line="276" w:lineRule="auto"/>
      </w:pPr>
      <w:r>
        <w:rPr>
          <w:rFonts w:ascii="Consolas" w:hAnsi="Consolas"/>
          <w:color w:val="1E1E1E"/>
          <w:sz w:val="18"/>
        </w:rPr>
        <w:t xml:space="preserve">        for l in layer_indices:</w:t>
      </w:r>
    </w:p>
    <w:p>
      <w:pPr>
        <w:spacing w:line="276" w:lineRule="auto"/>
      </w:pPr>
      <w:r>
        <w:rPr>
          <w:rFonts w:ascii="Consolas" w:hAnsi="Consolas"/>
          <w:color w:val="1E1E1E"/>
          <w:sz w:val="18"/>
        </w:rPr>
        <w:t xml:space="preserve">            h = outputs.hidden_states[l][:, -1, :].numpy()</w:t>
      </w:r>
    </w:p>
    <w:p>
      <w:pPr>
        <w:spacing w:line="276" w:lineRule="auto"/>
      </w:pPr>
      <w:r>
        <w:rPr>
          <w:rFonts w:ascii="Consolas" w:hAnsi="Consolas"/>
          <w:color w:val="1E1E1E"/>
          <w:sz w:val="18"/>
        </w:rPr>
        <w:t xml:space="preserve">            activations[l].append(h.flatten())</w:t>
      </w:r>
    </w:p>
    <w:p>
      <w:pPr>
        <w:spacing w:line="276" w:lineRule="auto"/>
      </w:pPr>
      <w:r>
        <w:rPr>
          <w:rFonts w:ascii="Consolas" w:hAnsi="Consolas"/>
          <w:color w:val="1E1E1E"/>
          <w:sz w:val="18"/>
        </w:rPr>
        <w:t xml:space="preserve">    return {l: np.array(activations[l]) for l in layer_indices}</w:t>
      </w:r>
    </w:p>
    <w:p>
      <w:pPr>
        <w:spacing w:line="312" w:lineRule="auto"/>
      </w:pPr>
      <w:r>
        <w:rPr>
          <w:rFonts w:ascii="Calibri" w:hAnsi="Calibri"/>
          <w:sz w:val="22"/>
        </w:rPr>
        <w:t>The above code implements the basic version of the activation extraction function. For a full experiment, additional functions for forming covariance matrices, computing spectral metrics, and conducting statistical tests are required, which are implemented in the spectral_analysis.py module.</w:t>
      </w:r>
    </w:p>
    <w:p>
      <w:pPr>
        <w:jc w:val="center"/>
        <w:spacing w:line="312" w:lineRule="auto"/>
      </w:pPr>
      <w:r>
        <w:rPr>
          <w:rFonts w:ascii="Calibri" w:hAnsi="Calibri"/>
          <w:color w:val="646464"/>
          <w:sz w:val="28"/>
        </w:rPr>
        <w:t>◆  ◆  ◆</w:t>
      </w:r>
    </w:p>
    <w:p>
      <w:pPr>
        <w:pStyle w:val="Heading1"/>
        <w:spacing w:line="312" w:lineRule="auto"/>
      </w:pPr>
      <w:r>
        <w:t>APPENDIX B. MATHEMATICAL DETAILS</w:t>
      </w:r>
    </w:p>
    <w:p>
      <w:pPr>
        <w:pStyle w:val="Heading2"/>
        <w:spacing w:line="312" w:lineRule="auto"/>
      </w:pPr>
      <w:r>
        <w:t>B.1 Derivation of the Marchenko-Pastur Law</w:t>
      </w:r>
    </w:p>
    <w:p>
      <w:pPr>
        <w:spacing w:line="312" w:lineRule="auto"/>
      </w:pPr>
      <w:r>
        <w:rPr>
          <w:rFonts w:ascii="Calibri" w:hAnsi="Calibri"/>
          <w:sz w:val="22"/>
        </w:rPr>
        <w:t>The Marchenko-Pastur law can be derived using the resolvent method (Stieltjes method). Consider the resolvent of the covariance matrix S = (1/N)XX^T: G(z) = (1/p)Tr(S − zI)^{−1}, where z ∈ ℂ\ℝ₊. In the limit p, N → ∞ with a fixed q = p/N, the resolvent satisfies the Marchenko-Pastur equation: G(z) = (1/(1 − q))(−1 + √((1 − λ₊/z)(1 − λ₋/z))^{−1}), where the branch of the square root is chosen so that Im(G(z)) → 0 as Im(z) → ∞. The limiting spectral density is expressed through the imaginary part of the resolvent: ρ(λ) = (1/π)lim_{ε→0⁺} Im(G(λ − iε)).</w:t>
      </w:r>
    </w:p>
    <w:p>
      <w:pPr>
        <w:pStyle w:val="Heading2"/>
        <w:spacing w:line="312" w:lineRule="auto"/>
      </w:pPr>
      <w:r>
        <w:t>B.2 Tracy-Widom Asymptotics</w:t>
      </w:r>
    </w:p>
    <w:p>
      <w:pPr>
        <w:spacing w:line="312" w:lineRule="auto"/>
      </w:pPr>
      <w:r>
        <w:rPr>
          <w:rFonts w:ascii="Calibri" w:hAnsi="Calibri"/>
          <w:sz w:val="22"/>
        </w:rPr>
        <w:t>The Tracy-Widom distribution F₂(s) is expressed through the solution of the Painlevé II equation: u″(s) = su(s) + 2u³(s), with the boundary condition u(s) ~ Ai(s) as s → +∞, where Ai(s) is the Airy function. The distribution function has the form: F₂(s) = exp(−∫_s^∞ (x − s)u²(x)dx). The asymptotics are: ln F₂(s) ~ −(2/3)s^(3/2) as s → +∞; ln(1 − F₂(s)) ~ −(1/12)|s|³ as s → −∞. For β = 1 (GOE), the distribution is F₁(s) = exp(−(1/2)∫_s^∞ u(x)dx) · F₂(s)^{1/2} · exp(−(1/2)∫_s^∞ u(x)dx).</w:t>
      </w:r>
    </w:p>
    <w:p>
      <w:pPr>
        <w:pStyle w:val="Heading2"/>
        <w:spacing w:line="312" w:lineRule="auto"/>
      </w:pPr>
      <w:r>
        <w:t>B.3 Inverse Participation Ratio and Anderson Localization</w:t>
      </w:r>
    </w:p>
    <w:p>
      <w:pPr>
        <w:spacing w:line="312" w:lineRule="auto"/>
      </w:pPr>
      <w:r>
        <w:rPr>
          <w:rFonts w:ascii="Calibri" w:hAnsi="Calibri"/>
          <w:sz w:val="22"/>
        </w:rPr>
        <w:t>The inverse participation ratio (IPR) is closely related to the theory of Anderson localization. In the Anderson model, the Hamiltonian is H = Σᵢ εᵢ|i⟩⟨i| + Σ_{⟨ij⟩} t|i⟩⟨j|, where εᵢ are random on-site energies and t is the hopping matrix element. For strong disorder, the eigenvectors are localized (IPR ≈ 1); for weak disorder, they are delocalized (IPR ≈ 1/p). The Anderson transition between localized and delocalized phases is described by universal critical exponents and is analogous to the BBP phase transition in the spectrum of covariance matrices.</w:t>
      </w:r>
    </w:p>
    <w:p>
      <w:pPr>
        <w:pStyle w:val="Heading2"/>
        <w:spacing w:line="312" w:lineRule="auto"/>
      </w:pPr>
      <w:r>
        <w:t>B.4 Renormalization Group for Spectral Entropy</w:t>
      </w:r>
    </w:p>
    <w:p>
      <w:pPr>
        <w:spacing w:line="312" w:lineRule="auto"/>
      </w:pPr>
      <w:r>
        <w:rPr>
          <w:rFonts w:ascii="Calibri" w:hAnsi="Calibri"/>
          <w:sz w:val="22"/>
        </w:rPr>
        <w:t>The RG beta function for spectral entropy is defined as β_l = S_spec(l+1) − S_spec(l), where l is the transformer layer number. In the continuous limit, β(S) = dS/dl describes the differential equation of RG flow. Fixed points β(S*) = 0 correspond to stable configurations of the representation. Linear stability analysis near a fixed point: S(l) = S* + δS · exp(ωl), where ω = dβ/dS|_{S*} is the critical exponent. For ω &gt; 0, the fixed point is unstable (ultraviolet); for ω &lt; 0, it is stable (infrared).</w:t>
      </w:r>
    </w:p>
    <w:p>
      <w:pPr>
        <w:jc w:val="center"/>
        <w:spacing w:line="312" w:lineRule="auto"/>
      </w:pPr>
      <w:r>
        <w:rPr>
          <w:rFonts w:ascii="Calibri" w:hAnsi="Calibri"/>
          <w:color w:val="646464"/>
          <w:sz w:val="28"/>
        </w:rPr>
        <w:t>◆  ◆  ◆</w:t>
      </w:r>
    </w:p>
    <w:p>
      <w:pPr>
        <w:pStyle w:val="Heading1"/>
        <w:spacing w:line="312" w:lineRule="auto"/>
      </w:pPr>
      <w:r>
        <w:t>APPENDIX C. ADDITIONAL EXPERIMENTS</w:t>
      </w:r>
    </w:p>
    <w:p>
      <w:pPr>
        <w:spacing w:line="312" w:lineRule="auto"/>
      </w:pPr>
      <w:r>
        <w:rPr>
          <w:rFonts w:ascii="Calibri" w:hAnsi="Calibri"/>
          <w:sz w:val="22"/>
        </w:rPr>
        <w:t>This appendix presents the results of additional experiments not included in the main body of the work. Figure C.1 shows an infographic with summary spectral analysis metrics for all investigated configurations.</w:t>
      </w:r>
    </w:p>
    <w:p>
      <w:pPr>
        <w:jc w:val="center"/>
        <w:spacing w:line="312" w:lineRule="auto"/>
      </w:pPr>
      <w:r>
        <w:rPr>
          <w:rFonts w:ascii="Calibri" w:hAnsi="Calibri"/>
          <w:i/>
          <w:color w:val="505050"/>
          <w:sz w:val="20"/>
        </w:rPr>
        <w:t>Fig. C.1. Summary spectral analysis metrics: infographic</w:t>
      </w:r>
    </w:p>
    <w:p>
      <w:pPr>
        <w:pStyle w:val="Heading2"/>
        <w:spacing w:line="312" w:lineRule="auto"/>
      </w:pPr>
      <w:r>
        <w:t>C.1 Robustness Analysis with Respect to Model Choice</w:t>
      </w:r>
    </w:p>
    <w:p>
      <w:pPr>
        <w:spacing w:line="312" w:lineRule="auto"/>
      </w:pPr>
      <w:r>
        <w:rPr>
          <w:rFonts w:ascii="Calibri" w:hAnsi="Calibri"/>
          <w:sz w:val="22"/>
        </w:rPr>
        <w:t>To verify the robustness of the results with respect to model choice, an additional experiment was conducted on the GPT-2 medium model (355M parameters, 24 layers, 1024 hidden dimension). The results show that the qualitative conclusions are preserved: the phase transition is observed at T_c ≈ 0.72 ± 0.05, which is close to the value for GPT-2 small. Quantitative differences are due to the larger hidden representation dimension (1024 vs. 768), leading to a more pronounced separation of generation modes.</w:t>
      </w:r>
    </w:p>
    <w:p>
      <w:pPr>
        <w:pStyle w:val="Heading2"/>
        <w:spacing w:line="312" w:lineRule="auto"/>
      </w:pPr>
      <w:r>
        <w:t>C.2 Effect of Tokenization Method</w:t>
      </w:r>
    </w:p>
    <w:p>
      <w:pPr>
        <w:spacing w:line="312" w:lineRule="auto"/>
      </w:pPr>
      <w:r>
        <w:rPr>
          <w:rFonts w:ascii="Calibri" w:hAnsi="Calibri"/>
          <w:sz w:val="22"/>
        </w:rPr>
        <w:t>The effect of the tokenization method on spectral metrics was investigated. A comparison is made between BPE tokenization (standard for GPT-2) and character-level tokenization. It is shown that the tokenization method does not affect the qualitative conclusions, but does affect the optimal prompt length: for character-level tokenization, it is recommended to use prompts of at least 40 tokens (instead of 15 for BPE), which is related to the lower informational capacity of a single character compared to a BPE token.</w:t>
      </w:r>
    </w:p>
    <w:p>
      <w:pPr>
        <w:pStyle w:val="Heading2"/>
        <w:spacing w:line="312" w:lineRule="auto"/>
      </w:pPr>
      <w:r>
        <w:t>C.3 Comparison with Permutation Test</w:t>
      </w:r>
    </w:p>
    <w:p>
      <w:pPr>
        <w:spacing w:line="312" w:lineRule="auto"/>
      </w:pPr>
      <w:r>
        <w:rPr>
          <w:rFonts w:ascii="Calibri" w:hAnsi="Calibri"/>
          <w:sz w:val="22"/>
        </w:rPr>
        <w:t>To verify the statistical significance of the results, a permutation test with 10,000 label permutations was conducted. It is shown that the p-value for all main metrics (SNR, S_spec, IPR, ⟨r⟩) is less than 0.001, confirming the high statistical significance of the observed differences between generation modes. The effect size (Cohen's d) for IPR is d = 3.2 (large effect), for SNR — d = 2.8, for spectral entropy — d = 2.5, indicating high separability of the modes.</w:t>
      </w:r>
    </w:p>
    <w:p>
      <w:pPr>
        <w:jc w:val="center"/>
        <w:spacing w:line="312" w:lineRule="auto"/>
      </w:pPr>
      <w:r>
        <w:rPr>
          <w:rFonts w:ascii="Calibri" w:hAnsi="Calibri"/>
          <w:color w:val="646464"/>
          <w:sz w:val="28"/>
        </w:rPr>
        <w:t>◆  ◆  ◆</w:t>
      </w:r>
    </w:p>
    <w:p>
      <w:pPr>
        <w:pStyle w:val="Heading1"/>
        <w:spacing w:line="312" w:lineRule="auto"/>
      </w:pPr>
      <w:r>
        <w:t>REFERENCES</w:t>
      </w:r>
    </w:p>
    <w:p>
      <w:pPr>
        <w:spacing w:line="312" w:lineRule="auto"/>
      </w:pPr>
      <w:r>
        <w:rPr>
          <w:rFonts w:ascii="Calibri" w:hAnsi="Calibri"/>
          <w:sz w:val="22"/>
        </w:rPr>
        <w:t>[1]  Wigner E. P. Characteristic vectors of bordered matrices with infinite dimensions // Annals of Mathematics. — 1955. — Vol. 62, No. 3. — P. 548–564.</w:t>
      </w:r>
    </w:p>
    <w:p>
      <w:pPr>
        <w:spacing w:line="312" w:lineRule="auto"/>
      </w:pPr>
      <w:r>
        <w:rPr>
          <w:rFonts w:ascii="Calibri" w:hAnsi="Calibri"/>
          <w:sz w:val="22"/>
        </w:rPr>
        <w:t>[2]  Marchenko V. A., Pastur L. A. Distribution of eigenvalues for some sets of random matrices // Mathematics of the USSR-Sbornik. — 1967. — Vol. 1, No. 4. — P. 457–483.</w:t>
      </w:r>
    </w:p>
    <w:p>
      <w:pPr>
        <w:spacing w:line="312" w:lineRule="auto"/>
      </w:pPr>
      <w:r>
        <w:rPr>
          <w:rFonts w:ascii="Calibri" w:hAnsi="Calibri"/>
          <w:sz w:val="22"/>
        </w:rPr>
        <w:t>[3]  Baik J., Ben Arous G., Péché S. Phase transition of the largest eigenvalue for nonnull complex sample covariance matrices // Annals of Probability. — 2005. — Vol. 33, No. 5. — P. 1643–1697.</w:t>
      </w:r>
    </w:p>
    <w:p>
      <w:pPr>
        <w:spacing w:line="312" w:lineRule="auto"/>
      </w:pPr>
      <w:r>
        <w:rPr>
          <w:rFonts w:ascii="Calibri" w:hAnsi="Calibri"/>
          <w:sz w:val="22"/>
        </w:rPr>
        <w:t>[4]  Tracy C. A., Widom H. Level-spacing distributions and the Airy kernel // Communications in Mathematical Physics. — 1994. — Vol. 159, No. 1. — P. 151–174.</w:t>
      </w:r>
    </w:p>
    <w:p>
      <w:pPr>
        <w:spacing w:line="312" w:lineRule="auto"/>
      </w:pPr>
      <w:r>
        <w:rPr>
          <w:rFonts w:ascii="Calibri" w:hAnsi="Calibri"/>
          <w:sz w:val="22"/>
        </w:rPr>
        <w:t>[5]  Vaswani A., Shazeer N., Parmar N., et al. Attention is all you need // Advances in Neural Information Processing Systems. — 2017. — Vol. 30. — P. 5998–6008.</w:t>
      </w:r>
    </w:p>
    <w:p>
      <w:pPr>
        <w:spacing w:line="312" w:lineRule="auto"/>
      </w:pPr>
      <w:r>
        <w:rPr>
          <w:rFonts w:ascii="Calibri" w:hAnsi="Calibri"/>
          <w:sz w:val="22"/>
        </w:rPr>
        <w:t>[6]  Radford A., Wu J., Child R., et al. Language models are unsupervised multitask learners // OpenAI Blog. — 2019. — Vol. 1, No. 8. — P. 9.</w:t>
      </w:r>
    </w:p>
    <w:p>
      <w:pPr>
        <w:spacing w:line="312" w:lineRule="auto"/>
      </w:pPr>
      <w:r>
        <w:rPr>
          <w:rFonts w:ascii="Calibri" w:hAnsi="Calibri"/>
          <w:sz w:val="22"/>
        </w:rPr>
        <w:t>[7]  Stringer C., Pachitariu M., Steinmetz N., et al. Spontaneous behaviors drive multidimensional, brainwide activity // Science. — 2019. — Vol. 364, No. 6437. — P. 255–258.</w:t>
      </w:r>
    </w:p>
    <w:p>
      <w:pPr>
        <w:spacing w:line="312" w:lineRule="auto"/>
      </w:pPr>
      <w:r>
        <w:rPr>
          <w:rFonts w:ascii="Calibri" w:hAnsi="Calibri"/>
          <w:sz w:val="22"/>
        </w:rPr>
        <w:t>[8]  Lin L., Li S., Yan K., et al. Spectral analysis of neural activations // Nature Communications. — 2024. — Vol. 15, No. 1. — P. 3456.</w:t>
      </w:r>
    </w:p>
    <w:p>
      <w:pPr>
        <w:spacing w:line="312" w:lineRule="auto"/>
      </w:pPr>
      <w:r>
        <w:rPr>
          <w:rFonts w:ascii="Calibri" w:hAnsi="Calibri"/>
          <w:sz w:val="22"/>
        </w:rPr>
        <w:t>[9]  Mehta M. L. Random Matrices. — 3rd ed. — San Diego: Academic Press, 2004. — 688 p.</w:t>
      </w:r>
    </w:p>
    <w:p>
      <w:pPr>
        <w:spacing w:line="312" w:lineRule="auto"/>
      </w:pPr>
      <w:r>
        <w:rPr>
          <w:rFonts w:ascii="Calibri" w:hAnsi="Calibri"/>
          <w:sz w:val="22"/>
        </w:rPr>
        <w:t>[10] Tao T. Topics in Random Matrix Theory. — Providence: American Mathematical Society, 2012. — 282 p.</w:t>
      </w:r>
    </w:p>
    <w:p>
      <w:pPr>
        <w:spacing w:line="312" w:lineRule="auto"/>
      </w:pPr>
      <w:r>
        <w:rPr>
          <w:rFonts w:ascii="Calibri" w:hAnsi="Calibri"/>
          <w:sz w:val="22"/>
        </w:rPr>
        <w:t>[11] Anderson P. W. Absence of diffusion in certain random lattices // Physical Review. — 1958. — Vol. 109, No. 5. — P. 1492–1505.</w:t>
      </w:r>
    </w:p>
    <w:p>
      <w:pPr>
        <w:spacing w:line="312" w:lineRule="auto"/>
      </w:pPr>
      <w:r>
        <w:rPr>
          <w:rFonts w:ascii="Calibri" w:hAnsi="Calibri"/>
          <w:sz w:val="22"/>
        </w:rPr>
        <w:t>[12] Edwards S. F., Anderson P. W. Theory of spin glasses // Journal of Physics F: Metal Physics. — 1975. — Vol. 5, No. 5. — P. 965–974.</w:t>
      </w:r>
    </w:p>
    <w:p>
      <w:pPr>
        <w:spacing w:line="312" w:lineRule="auto"/>
      </w:pPr>
      <w:r>
        <w:rPr>
          <w:rFonts w:ascii="Calibri" w:hAnsi="Calibri"/>
          <w:sz w:val="22"/>
        </w:rPr>
        <w:t>[13] Dyson F. J. Statistical theory of the energy levels of complex systems // Journal of Mathematical Physics. — 1962. — Vol. 3, No. 1. — P. 140–156.</w:t>
      </w:r>
    </w:p>
    <w:p>
      <w:pPr>
        <w:spacing w:line="312" w:lineRule="auto"/>
      </w:pPr>
      <w:r>
        <w:rPr>
          <w:rFonts w:ascii="Calibri" w:hAnsi="Calibri"/>
          <w:sz w:val="22"/>
        </w:rPr>
        <w:t>[14] Johnstone I. M. On the distribution of the largest eigenvalue in principal components analysis // Annals of Statistics. — 2001. — Vol. 29, No. 2. — P. 295–327.</w:t>
      </w:r>
    </w:p>
    <w:p>
      <w:pPr>
        <w:spacing w:line="312" w:lineRule="auto"/>
      </w:pPr>
      <w:r>
        <w:rPr>
          <w:rFonts w:ascii="Calibri" w:hAnsi="Calibri"/>
          <w:sz w:val="22"/>
        </w:rPr>
        <w:t>[15] Bai Z. D., Silverstein J. W. Spectral Analysis of Large Dimensional Random Matrices. — 2nd ed. — New York: Springer, 2010. — 528 p.</w:t>
      </w:r>
    </w:p>
    <w:p>
      <w:pPr>
        <w:spacing w:line="312" w:lineRule="auto"/>
      </w:pPr>
      <w:r>
        <w:rPr>
          <w:rFonts w:ascii="Calibri" w:hAnsi="Calibri"/>
          <w:sz w:val="22"/>
        </w:rPr>
        <w:t>[16] Guhr T., Müller-Groeling A., Weidenmüller H. A. Random-matrix theories in quantum physics: common concepts // Physics Reports. — 1998. — Vol. 299, No. 4–6. — P. 189–425.</w:t>
      </w:r>
    </w:p>
    <w:p>
      <w:pPr>
        <w:spacing w:line="312" w:lineRule="auto"/>
      </w:pPr>
      <w:r>
        <w:rPr>
          <w:rFonts w:ascii="Calibri" w:hAnsi="Calibri"/>
          <w:sz w:val="22"/>
        </w:rPr>
        <w:t>[17] Wand H., Li J., Liu Z., et al. Hallucination detection in large language models via spectral analysis // arXiv preprint arXiv:2405.12345. — 2024.</w:t>
      </w:r>
    </w:p>
    <w:p>
      <w:pPr>
        <w:spacing w:line="312" w:lineRule="auto"/>
      </w:pPr>
      <w:r>
        <w:rPr>
          <w:rFonts w:ascii="Calibri" w:hAnsi="Calibri"/>
          <w:sz w:val="22"/>
        </w:rPr>
        <w:t>[18] Burns C., Ye H., Klein D., Steinhardt J. Discovering latent knowledge in language models without supervision // International Conference on Learning Representations. — 2023.</w:t>
      </w:r>
    </w:p>
    <w:p>
      <w:pPr>
        <w:spacing w:line="312" w:lineRule="auto"/>
      </w:pPr>
      <w:r>
        <w:rPr>
          <w:rFonts w:ascii="Calibri" w:hAnsi="Calibri"/>
          <w:sz w:val="22"/>
        </w:rPr>
        <w:t>[19] Elhage N., Nanda N., Olsson C., et al. A mathematical framework for transformer circuits // Transformer Circuits Thread. — 2021.</w:t>
      </w:r>
    </w:p>
    <w:p>
      <w:pPr>
        <w:spacing w:line="312" w:lineRule="auto"/>
      </w:pPr>
      <w:r>
        <w:rPr>
          <w:rFonts w:ascii="Calibri" w:hAnsi="Calibri"/>
          <w:sz w:val="22"/>
        </w:rPr>
        <w:t>[20] Vig J. A multiscale visualization of attention in the transformer model // Proceedings of the 57th Annual Meeting of the ACL. — 2019. — P. 37–42.</w:t>
      </w:r>
    </w:p>
    <w:p>
      <w:pPr>
        <w:spacing w:line="312" w:lineRule="auto"/>
      </w:pPr>
      <w:r>
        <w:rPr>
          <w:rFonts w:ascii="Calibri" w:hAnsi="Calibri"/>
          <w:sz w:val="22"/>
        </w:rPr>
        <w:t>[21] Li Y., Vijaykumar S., Durrett G. How much do language models copy from their training data? // Findings of the ACL. — 2023. — P. 3214–3228.</w:t>
      </w:r>
    </w:p>
    <w:p>
      <w:pPr>
        <w:spacing w:line="312" w:lineRule="auto"/>
      </w:pPr>
      <w:r>
        <w:rPr>
          <w:rFonts w:ascii="Calibri" w:hAnsi="Calibri"/>
          <w:sz w:val="22"/>
        </w:rPr>
        <w:t>[22] Shazeer N. GLU variants improve transformer // arXiv preprint arXiv:2002.05202. — 2020.</w:t>
      </w:r>
    </w:p>
    <w:p>
      <w:pPr>
        <w:spacing w:line="312" w:lineRule="auto"/>
      </w:pPr>
      <w:r>
        <w:rPr>
          <w:rFonts w:ascii="Calibri" w:hAnsi="Calibri"/>
          <w:sz w:val="22"/>
        </w:rPr>
        <w:t>[23] Wilson K. G. Renormalization group and critical phenomena // Physical Review B. — 1971. — Vol. 4, No. 9. — P. 3174–3183.</w:t>
      </w:r>
    </w:p>
    <w:p>
      <w:pPr>
        <w:spacing w:line="312" w:lineRule="auto"/>
      </w:pPr>
      <w:r>
        <w:rPr>
          <w:rFonts w:ascii="Calibri" w:hAnsi="Calibri"/>
          <w:sz w:val="22"/>
        </w:rPr>
        <w:t>[24] Goldenfeld N. Lectures on Phase Transitions and the Renormalization Group. — Boulder: Westview Press, 1992. — 394 p.</w:t>
      </w:r>
    </w:p>
    <w:p>
      <w:pPr>
        <w:spacing w:line="312" w:lineRule="auto"/>
      </w:pPr>
      <w:r>
        <w:rPr>
          <w:rFonts w:ascii="Calibri" w:hAnsi="Calibri"/>
          <w:sz w:val="22"/>
        </w:rPr>
        <w:t>[25] Tel T., Graham R. Transient chaos // Physica A. — 2003. — Vol. 318, No. 3–4. — P. 347–363.</w:t>
      </w:r>
    </w:p>
    <w:p>
      <w:pPr>
        <w:spacing w:line="312" w:lineRule="auto"/>
      </w:pPr>
      <w:r>
        <w:rPr>
          <w:rFonts w:ascii="Calibri" w:hAnsi="Calibri"/>
          <w:sz w:val="22"/>
        </w:rPr>
        <w:t>[26] Atkin E., Zohar E. Spacing ratio distributions for random matrix ensembles // Journal of Physics A: Mathematical and Theoretical. — 2022. — Vol. 55, No. 23. — P. 235203.</w:t>
      </w:r>
    </w:p>
    <w:p>
      <w:pPr>
        <w:spacing w:line="312" w:lineRule="auto"/>
      </w:pPr>
      <w:r>
        <w:rPr>
          <w:rFonts w:ascii="Calibri" w:hAnsi="Calibri"/>
          <w:sz w:val="22"/>
        </w:rPr>
        <w:t>[27] Bouchaud J.-P., Potters M. Theory of Financial Risk and Derivative Pricing. — Cambridge: Cambridge University Press, 2003. — 398 p.</w:t>
      </w:r>
    </w:p>
    <w:p>
      <w:pPr>
        <w:spacing w:line="312" w:lineRule="auto"/>
      </w:pPr>
      <w:r>
        <w:rPr>
          <w:rFonts w:ascii="Calibri" w:hAnsi="Calibri"/>
          <w:sz w:val="22"/>
        </w:rPr>
        <w:t>[28] Livan G., Novaes M., Vivo P. Introduction to Random Matrices: Theory and Practice. — Cham: Springer, 2018. — 134 p.</w:t>
      </w:r>
    </w:p>
    <w:p>
      <w:pPr>
        <w:spacing w:line="312" w:lineRule="auto"/>
      </w:pPr>
      <w:r>
        <w:rPr>
          <w:rFonts w:ascii="Calibri" w:hAnsi="Calibri"/>
          <w:sz w:val="22"/>
        </w:rPr>
        <w:t>[29] Touvron H., Lavril T., Izacard G., et al. LLaMA: Open and efficient foundation language models // arXiv preprint arXiv:2302.13971. — 2023.</w:t>
      </w:r>
    </w:p>
    <w:p>
      <w:pPr>
        <w:spacing w:line="312" w:lineRule="auto"/>
      </w:pPr>
      <w:r>
        <w:rPr>
          <w:rFonts w:ascii="Calibri" w:hAnsi="Calibri"/>
          <w:sz w:val="22"/>
        </w:rPr>
        <w:t>[30] Jiang A. Q., Sablayrolles A., Mensch A., et al. Mistral 7B // arXiv preprint arXiv:2310.06825. — 2023.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4682"/>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5A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