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D4AF37" w:val="clear"/>
        <w:spacing w:after="0" w:before="0"/>
      </w:pPr>
      <w:r>
        <w:rPr>
          <w:sz w:val="8"/>
          <w:szCs w:val="8"/>
        </w:rPr>
        <w:t xml:space="preserve"> </w:t>
      </w:r>
    </w:p>
    <w:p>
      <w:pPr>
        <w:shd w:fill="1A1A1A" w:val="clear"/>
        <w:spacing w:after="0" w:before="3600"/>
      </w:pPr>
      <w:r>
        <w:rPr>
          <w:sz w:val="28"/>
          <w:szCs w:val="28"/>
        </w:rPr>
        <w:t xml:space="preserve"> </w:t>
      </w:r>
    </w:p>
    <w:p>
      <w:pPr>
        <w:shd w:fill="1A1A1A" w:val="clear"/>
        <w:spacing w:after="0" w:before="1200"/>
      </w:pPr>
      <w:r>
        <w:rPr>
          <w:sz w:val="28"/>
          <w:szCs w:val="28"/>
        </w:rPr>
        <w:t xml:space="preserve"> </w:t>
      </w:r>
    </w:p>
    <w:p>
      <w:pPr>
        <w:shd w:fill="1A1A1A" w:val="clear"/>
        <w:spacing w:after="200" w:before="200"/>
        <w:jc w:val="center"/>
      </w:pPr>
      <w:r>
        <w:rPr>
          <w:rFonts w:ascii="Times New Roman" w:cs="Times New Roman" w:eastAsia="Times New Roman" w:hAnsi="Times New Roman"/>
          <w:color w:val="D4AF37"/>
          <w:sz w:val="24"/>
          <w:szCs w:val="24"/>
        </w:rPr>
        <w:t xml:space="preserve">— ✦ —</w:t>
      </w:r>
    </w:p>
    <w:p>
      <w:pPr>
        <w:shd w:fill="1A1A1A" w:val="clear"/>
        <w:spacing w:after="100" w:before="200"/>
        <w:jc w:val="center"/>
      </w:pPr>
      <w:r>
        <w:rPr>
          <w:rFonts w:ascii="Times New Roman" w:cs="Times New Roman" w:eastAsia="Times New Roman" w:hAnsi="Times New Roman"/>
          <w:color w:val="D4AF37"/>
          <w:sz w:val="52"/>
          <w:szCs w:val="52"/>
        </w:rPr>
        <w:t xml:space="preserve">СЛУЧАЙНАЯ МАТРИЧНАЯ ТЕОРИЯ</w:t>
      </w:r>
    </w:p>
    <w:p>
      <w:pPr>
        <w:shd w:fill="1A1A1A" w:val="clear"/>
        <w:spacing w:after="100" w:before="100"/>
        <w:jc w:val="center"/>
      </w:pPr>
      <w:r>
        <w:rPr>
          <w:rFonts w:ascii="Times New Roman" w:cs="Times New Roman" w:eastAsia="Times New Roman" w:hAnsi="Times New Roman"/>
          <w:color w:val="D4AF37"/>
          <w:sz w:val="44"/>
          <w:szCs w:val="44"/>
        </w:rPr>
        <w:t xml:space="preserve">И АКТИВАЦИИ БОЛЬШИХ ЯЗЫКОВЫХ МОДЕЛЕЙ</w:t>
      </w:r>
    </w:p>
    <w:p>
      <w:pPr>
        <w:shd w:fill="1A1A1A" w:val="clear"/>
        <w:spacing w:after="200" w:before="200"/>
        <w:jc w:val="center"/>
      </w:pPr>
      <w:r>
        <w:rPr>
          <w:rFonts w:ascii="Times New Roman" w:cs="Times New Roman" w:eastAsia="Times New Roman" w:hAnsi="Times New Roman"/>
          <w:color w:val="D4AF37"/>
          <w:sz w:val="16"/>
          <w:szCs w:val="16"/>
        </w:rPr>
        <w:t xml:space="preserve">━━━━━━━━━━━━━━━━━━━━━━━━━━━</w:t>
      </w:r>
    </w:p>
    <w:p>
      <w:pPr>
        <w:shd w:fill="1A1A1A" w:val="clear"/>
        <w:spacing w:after="100" w:before="100"/>
        <w:jc w:val="center"/>
      </w:pPr>
      <w:r>
        <w:rPr>
          <w:rFonts w:ascii="Times New Roman" w:cs="Times New Roman" w:eastAsia="Times New Roman" w:hAnsi="Times New Roman"/>
          <w:color w:val="C9A84C"/>
          <w:sz w:val="28"/>
          <w:szCs w:val="28"/>
        </w:rPr>
        <w:t xml:space="preserve">Спектральный анализ для различения</w:t>
      </w:r>
    </w:p>
    <w:p>
      <w:pPr>
        <w:shd w:fill="1A1A1A" w:val="clear"/>
        <w:spacing w:after="200" w:before="0"/>
        <w:jc w:val="center"/>
      </w:pPr>
      <w:r>
        <w:rPr>
          <w:rFonts w:ascii="Times New Roman" w:cs="Times New Roman" w:eastAsia="Times New Roman" w:hAnsi="Times New Roman"/>
          <w:color w:val="C9A84C"/>
          <w:sz w:val="28"/>
          <w:szCs w:val="28"/>
        </w:rPr>
        <w:t xml:space="preserve">фактической и творческой генерации</w:t>
      </w:r>
    </w:p>
    <w:p>
      <w:pPr>
        <w:shd w:fill="1A1A1A" w:val="clear"/>
        <w:spacing w:after="0" w:before="4800"/>
      </w:pPr>
      <w:r>
        <w:rPr>
          <w:sz w:val="28"/>
          <w:szCs w:val="28"/>
        </w:rPr>
        <w:t xml:space="preserve"> </w:t>
      </w:r>
    </w:p>
    <w:p>
      <w:pPr>
        <w:shd w:fill="1A1A1A" w:val="clear"/>
        <w:spacing w:after="100" w:before="100"/>
        <w:jc w:val="center"/>
      </w:pPr>
      <w:r>
        <w:rPr>
          <w:rFonts w:ascii="Times New Roman" w:cs="Times New Roman" w:eastAsia="Times New Roman" w:hAnsi="Times New Roman"/>
          <w:color w:val="D4AF37"/>
          <w:sz w:val="24"/>
          <w:szCs w:val="24"/>
        </w:rPr>
        <w:t xml:space="preserve">— ✦ —</w:t>
      </w:r>
    </w:p>
    <w:p>
      <w:pPr>
        <w:shd w:fill="1A1A1A" w:val="clear"/>
        <w:spacing w:after="0" w:before="100"/>
        <w:jc w:val="center"/>
      </w:pPr>
      <w:r>
        <w:rPr>
          <w:rFonts w:ascii="Times New Roman" w:cs="Times New Roman" w:eastAsia="Times New Roman" w:hAnsi="Times New Roman"/>
          <w:color w:val="8B7E5A"/>
          <w:sz w:val="22"/>
          <w:szCs w:val="22"/>
        </w:rPr>
        <w:t xml:space="preserve">Исследовательская монография · 2026</w:t>
      </w:r>
    </w:p>
    <w:p>
      <w:pPr>
        <w:jc w:val="center"/>
      </w:pPr>
      <w:r>
        <w:rPr>
          <w:b/>
          <w:sz w:val="28"/>
        </w:rPr>
        <w:t>Iskhak Hamzatovich Isaev</w:t>
      </w:r>
    </w:p>
    <w:p>
      <w:pPr>
        <w:shd w:fill="D4AF37" w:val="clear"/>
        <w:spacing w:after="0" w:before="200"/>
      </w:pPr>
      <w:r>
        <w:rPr>
          <w:sz w:val="8"/>
          <w:szCs w:val="8"/>
        </w:rPr>
        <w:t xml:space="preserve"> </w:t>
      </w:r>
    </w:p>
    <w:p>
      <w:pPr>
        <w:sectPr>
          <w:pgSz w:w="11906" w:h="16838" w:orient="portrait"/>
          <w:pgMar w:top="0" w:right="0" w:bottom="0" w:left="0" w:header="708" w:footer="708" w:gutter="0"/>
          <w:pgNumType/>
          <w:docGrid w:linePitch="360"/>
        </w:sectPr>
      </w:pPr>
    </w:p>
    <w:p>
      <w:pPr>
        <w:shd w:fill="FBF6E8" w:val="clear"/>
        <w:spacing w:after="360" w:before="480"/>
        <w:jc w:val="center"/>
      </w:pPr>
      <w:r>
        <w:rPr>
          <w:rFonts w:ascii="Times New Roman" w:cs="Times New Roman" w:eastAsia="Times New Roman" w:hAnsi="Times New Roman"/>
          <w:color w:val="1A1A1A"/>
          <w:sz w:val="32"/>
          <w:szCs w:val="32"/>
        </w:rPr>
        <w:t xml:space="preserve">АННОТАЦИЯ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Настоящая монография посвящена систематическому исследованию применимости случайной матричной теории (СМТ) к анализу активаций больших языковых моделей (БЯМ). В работе развивается оригинальная методология спектрального анализа ковариационных матриц активаций, позволяющая количественно различать режимы фактической и творческой генерации текста. Основу метода составляет сравнение наблюдаемого спектра собственных значений с теоретическими предсказаниями закона Марченко—Пастура, а также анализ фазового перехода Байо—Бен Аруна—Пеше (BBP), распределения Трейси—Видома и коэффициента обратного участия (IPR).</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Предложена термодинамическая аналогия, в которой фактическая генерация интерпретируется как «связанное состояние» с низкой спектральной энтропией, а творческая генерация — как «газовая фаза» с высокой спектральной энтропией и делокализованными собственными векторами. Введена свободная энергия F = U − T·S_spec, минимумы которой соответствуют стабильным режимам генерации. Показано, что ренормализационная группа (РГ) по слоям трансформера описывает поток между фазами, а β-функция РГ определяет критические точки перехода.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Экспериментальная проверка проведена на модели GPT-2 с извлечением активаций из всех слоёв трансформера. Результаты температурного сканирования, кросс-слойного анализа и исследования зависимости от длины промпта подтверждают предсказания теоретической модели. Полученные метрики — SNR, спектральная энтропия, IPR и отношение интервалов — демонстрируют статистически значимое различие между режимами генерации, что открывает возможности для создания надёжных детекторов галлюцинаций и контроля качества генерации БЯМ.</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Ключевые слова: </w:t>
      </w:r>
      <w:r>
        <w:rPr>
          <w:rFonts w:ascii="Times New Roman" w:cs="Times New Roman" w:eastAsia="Times New Roman" w:hAnsi="Times New Roman"/>
          <w:color w:val="1A1A1A"/>
          <w:sz w:val="24"/>
          <w:szCs w:val="24"/>
        </w:rPr>
        <w:t xml:space="preserve">случайная матричная теория, большие языковые модели, спектральный анализ, закон Марченко—Пастура, фазовый переход BBP, распределение Трейси—Видома, коэффициент обратного участия, спектральная энтропия, свободная энергия, ренормализационная группа, галлюцинации, активации нейронных сетей.</w:t>
      </w:r>
    </w:p>
    <w:p>
      <w:pPr>
        <w:sectPr>
          <w:pgSz w:w="11906" w:h="16838" w:orient="portrait"/>
          <w:pgMar w:top="1440" w:right="1440" w:bottom="1440" w:left="1440" w:header="708" w:footer="708" w:gutter="0"/>
          <w:pgNumType/>
          <w:docGrid w:linePitch="360"/>
        </w:sectPr>
      </w:pPr>
    </w:p>
    <w:p>
      <w:pPr>
        <w:shd w:fill="FBF6E8" w:val="clear"/>
        <w:spacing w:after="360" w:before="480"/>
        <w:jc w:val="center"/>
      </w:pPr>
      <w:r>
        <w:rPr>
          <w:rFonts w:ascii="Times New Roman" w:cs="Times New Roman" w:eastAsia="Times New Roman" w:hAnsi="Times New Roman"/>
          <w:color w:val="1A1A1A"/>
          <w:sz w:val="32"/>
          <w:szCs w:val="32"/>
        </w:rPr>
        <w:t xml:space="preserve">СОДЕРЖАНИЕ</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Введение</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1.1 Актуальность исследования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1.2 Постановка проблемы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1.3 Цели и задачи исследования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1.4 Научная новизна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1.5 Структура работы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Теоретические основы случайной матричной теории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2.1 Исторический обзор и основные концепции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2.2 Закон Марченко—Пастура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8</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2.3 Фазовый переход Байо—Бен Аруна—Пеше</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2.4 Распределение Трейси—Видома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2.5 Спектральный форм-фактор и отношение интервалов</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13</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2.6 Коэффициент обратного участия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15</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Архитектура LLM и извлечение активаций</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17</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3.1 Архитектура трансформера и механизм внимания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17</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3.2 Извлечение активаций из GPT-2</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19</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3.3 Формирование ковариационных матриц активаций</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3.4 Предобработка и нормализация данных</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22</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Методология спектрального анализа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4.1 Функция advanced_spectral_analysis</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4.2 Визуализация плотности собственных значений</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4.3 Метрики спектрального анализа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28</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4.4 Статистическая значимость и пороговые значения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30</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Модель свободной энергии и режимы генерации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5.1 Термодинамическая аналогия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5.2 Фактическая генерация как связанное состояние</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5.3 Творческая генерация как газовая фаза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5.4 Ренормализационная группа и поток по слоям</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38</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5.5 Информационно-теоретическая интерпретация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40</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Экспериментальные результаты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6.1 Температурное сканирование</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6.2 Перенос между слоями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6.3 Зависимость от длины промпта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6.4 Сводная таблица результатов</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48</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Обсуждение</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7.1 Интерпретация результатов</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7.2 Сравнение с существующими подходами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7.3 Ограничения метода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54</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Заключение и перспективы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8.1 Основные выводы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8.2 Вклад в науку</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57</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8.3 Направления будущих исследований</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58</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Приложение А: Код извлечения активаций</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59</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Приложение Б: Математические детали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62</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Приложение В: Дополнительные эксперименты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65</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Список литературы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68</w:t>
      </w:r>
    </w:p>
    <w:sdt>
      <w:sdtPr>
        <w:alias w:val="Содержание"/>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ГЛАВА 1. ВВЕДЕНИЕ</w:t>
            </w:r>
            <w:r>
              <w:tab/>
            </w:r>
            <w:r>
              <w:fldChar w:fldCharType="begin"/>
            </w:r>
            <w:r>
              <w:instrText xml:space="preserve"> PAGEREF _Toc100000 \h </w:instrText>
            </w:r>
            <w:r>
              <w:fldChar w:fldCharType="separate"/>
            </w:r>
            <w:r>
              <w:t>9</w:t>
            </w:r>
            <w:r>
              <w:fldChar w:fldCharType="end"/>
            </w:r>
          </w:hyperlink>
        </w:p>
        <w:p>
          <w:pPr>
            <w:pStyle w:val="11"/>
            <w:ind w:left="360"/>
            <w:tabs>
              <w:tab w:val="right" w:leader="dot" w:pos="9026"/>
            </w:tabs>
            <w:spacing w:before="120" w:after="60"/>
          </w:pPr>
          <w:hyperlink w:anchor="_Toc100001" w:history="1">
            <w:r>
              <w:rPr>
                <w:rStyle w:val="Hyperlink"/>
              </w:rPr>
              <w:t>1.1 Актуальность исследования</w:t>
            </w:r>
            <w:r>
              <w:tab/>
            </w:r>
            <w:r>
              <w:fldChar w:fldCharType="begin"/>
            </w:r>
            <w:r>
              <w:instrText xml:space="preserve"> PAGEREF _Toc100001 \h </w:instrText>
            </w:r>
            <w:r>
              <w:fldChar w:fldCharType="separate"/>
            </w:r>
            <w:r>
              <w:t>9</w:t>
            </w:r>
            <w:r>
              <w:fldChar w:fldCharType="end"/>
            </w:r>
          </w:hyperlink>
        </w:p>
        <w:p>
          <w:pPr>
            <w:pStyle w:val="11"/>
            <w:ind w:left="360"/>
            <w:tabs>
              <w:tab w:val="right" w:leader="dot" w:pos="9026"/>
            </w:tabs>
            <w:spacing w:before="120" w:after="60"/>
          </w:pPr>
          <w:hyperlink w:anchor="_Toc100002" w:history="1">
            <w:r>
              <w:rPr>
                <w:rStyle w:val="Hyperlink"/>
              </w:rPr>
              <w:t>1.2 Постановка проблемы</w:t>
            </w:r>
            <w:r>
              <w:tab/>
            </w:r>
            <w:r>
              <w:fldChar w:fldCharType="begin"/>
            </w:r>
            <w:r>
              <w:instrText xml:space="preserve"> PAGEREF _Toc100002 \h </w:instrText>
            </w:r>
            <w:r>
              <w:fldChar w:fldCharType="separate"/>
            </w:r>
            <w:r>
              <w:t>10</w:t>
            </w:r>
            <w:r>
              <w:fldChar w:fldCharType="end"/>
            </w:r>
          </w:hyperlink>
        </w:p>
        <w:p>
          <w:pPr>
            <w:pStyle w:val="11"/>
            <w:ind w:left="360"/>
            <w:tabs>
              <w:tab w:val="right" w:leader="dot" w:pos="9026"/>
            </w:tabs>
            <w:spacing w:before="120" w:after="60"/>
          </w:pPr>
          <w:hyperlink w:anchor="_Toc100003" w:history="1">
            <w:r>
              <w:rPr>
                <w:rStyle w:val="Hyperlink"/>
              </w:rPr>
              <w:t>1.3 Цели и задачи исследования</w:t>
            </w:r>
            <w:r>
              <w:tab/>
            </w:r>
            <w:r>
              <w:fldChar w:fldCharType="begin"/>
            </w:r>
            <w:r>
              <w:instrText xml:space="preserve"> PAGEREF _Toc100003 \h </w:instrText>
            </w:r>
            <w:r>
              <w:fldChar w:fldCharType="separate"/>
            </w:r>
            <w:r>
              <w:t>10</w:t>
            </w:r>
            <w:r>
              <w:fldChar w:fldCharType="end"/>
            </w:r>
          </w:hyperlink>
        </w:p>
        <w:p>
          <w:pPr>
            <w:pStyle w:val="11"/>
            <w:ind w:left="360"/>
            <w:tabs>
              <w:tab w:val="right" w:leader="dot" w:pos="9026"/>
            </w:tabs>
            <w:spacing w:before="120" w:after="60"/>
          </w:pPr>
          <w:hyperlink w:anchor="_Toc100004" w:history="1">
            <w:r>
              <w:rPr>
                <w:rStyle w:val="Hyperlink"/>
              </w:rPr>
              <w:t>1.4 Научная новизна</w:t>
            </w:r>
            <w:r>
              <w:tab/>
            </w:r>
            <w:r>
              <w:fldChar w:fldCharType="begin"/>
            </w:r>
            <w:r>
              <w:instrText xml:space="preserve"> PAGEREF _Toc100004 \h </w:instrText>
            </w:r>
            <w:r>
              <w:fldChar w:fldCharType="separate"/>
            </w:r>
            <w:r>
              <w:t>11</w:t>
            </w:r>
            <w:r>
              <w:fldChar w:fldCharType="end"/>
            </w:r>
          </w:hyperlink>
        </w:p>
        <w:p>
          <w:pPr>
            <w:pStyle w:val="11"/>
            <w:ind w:left="360"/>
            <w:tabs>
              <w:tab w:val="right" w:leader="dot" w:pos="9026"/>
            </w:tabs>
            <w:spacing w:before="120" w:after="60"/>
          </w:pPr>
          <w:hyperlink w:anchor="_Toc100005" w:history="1">
            <w:r>
              <w:rPr>
                <w:rStyle w:val="Hyperlink"/>
              </w:rPr>
              <w:t>1.5 Структура работы</w:t>
            </w:r>
            <w:r>
              <w:tab/>
            </w:r>
            <w:r>
              <w:fldChar w:fldCharType="begin"/>
            </w:r>
            <w:r>
              <w:instrText xml:space="preserve"> PAGEREF _Toc100005 \h </w:instrText>
            </w:r>
            <w:r>
              <w:fldChar w:fldCharType="separate"/>
            </w:r>
            <w:r>
              <w:t>11</w:t>
            </w:r>
            <w:r>
              <w:fldChar w:fldCharType="end"/>
            </w:r>
          </w:hyperlink>
        </w:p>
        <w:p>
          <w:pPr>
            <w:pStyle w:val="9"/>
            <w:tabs>
              <w:tab w:val="right" w:leader="dot" w:pos="9026"/>
            </w:tabs>
            <w:spacing w:before="120" w:after="60"/>
          </w:pPr>
          <w:hyperlink w:anchor="_Toc100006" w:history="1">
            <w:r>
              <w:rPr>
                <w:rStyle w:val="Hyperlink"/>
              </w:rPr>
              <w:t>ГЛАВА 2. ТЕОРЕТИЧЕСКИЕ ОСНОВЫ СЛУЧАЙНОЙ МАТРИЧНОЙ ТЕОРИИ</w:t>
            </w:r>
            <w:r>
              <w:tab/>
            </w:r>
            <w:r>
              <w:fldChar w:fldCharType="begin"/>
            </w:r>
            <w:r>
              <w:instrText xml:space="preserve"> PAGEREF _Toc100006 \h </w:instrText>
            </w:r>
            <w:r>
              <w:fldChar w:fldCharType="separate"/>
            </w:r>
            <w:r>
              <w:t>12</w:t>
            </w:r>
            <w:r>
              <w:fldChar w:fldCharType="end"/>
            </w:r>
          </w:hyperlink>
        </w:p>
        <w:p>
          <w:pPr>
            <w:pStyle w:val="11"/>
            <w:ind w:left="360"/>
            <w:tabs>
              <w:tab w:val="right" w:leader="dot" w:pos="9026"/>
            </w:tabs>
            <w:spacing w:before="120" w:after="60"/>
          </w:pPr>
          <w:hyperlink w:anchor="_Toc100007" w:history="1">
            <w:r>
              <w:rPr>
                <w:rStyle w:val="Hyperlink"/>
              </w:rPr>
              <w:t>2.1 Исторический обзор и основные концепции</w:t>
            </w:r>
            <w:r>
              <w:tab/>
            </w:r>
            <w:r>
              <w:fldChar w:fldCharType="begin"/>
            </w:r>
            <w:r>
              <w:instrText xml:space="preserve"> PAGEREF _Toc100007 \h </w:instrText>
            </w:r>
            <w:r>
              <w:fldChar w:fldCharType="separate"/>
            </w:r>
            <w:r>
              <w:t>12</w:t>
            </w:r>
            <w:r>
              <w:fldChar w:fldCharType="end"/>
            </w:r>
          </w:hyperlink>
        </w:p>
        <w:p>
          <w:pPr>
            <w:pStyle w:val="11"/>
            <w:ind w:left="360"/>
            <w:tabs>
              <w:tab w:val="right" w:leader="dot" w:pos="9026"/>
            </w:tabs>
            <w:spacing w:before="120" w:after="60"/>
          </w:pPr>
          <w:hyperlink w:anchor="_Toc100008" w:history="1">
            <w:r>
              <w:rPr>
                <w:rStyle w:val="Hyperlink"/>
              </w:rPr>
              <w:t>2.2 Закон Марченко—Пастура</w:t>
            </w:r>
            <w:r>
              <w:tab/>
            </w:r>
            <w:r>
              <w:fldChar w:fldCharType="begin"/>
            </w:r>
            <w:r>
              <w:instrText xml:space="preserve"> PAGEREF _Toc100008 \h </w:instrText>
            </w:r>
            <w:r>
              <w:fldChar w:fldCharType="separate"/>
            </w:r>
            <w:r>
              <w:t>13</w:t>
            </w:r>
            <w:r>
              <w:fldChar w:fldCharType="end"/>
            </w:r>
          </w:hyperlink>
        </w:p>
        <w:p>
          <w:pPr>
            <w:pStyle w:val="11"/>
            <w:ind w:left="360"/>
            <w:tabs>
              <w:tab w:val="right" w:leader="dot" w:pos="9026"/>
            </w:tabs>
            <w:spacing w:before="120" w:after="60"/>
          </w:pPr>
          <w:hyperlink w:anchor="_Toc100009" w:history="1">
            <w:r>
              <w:rPr>
                <w:rStyle w:val="Hyperlink"/>
              </w:rPr>
              <w:t>2.3 Фазовый переход Байо—Бен Аруна—Пеше (BBP)</w:t>
            </w:r>
            <w:r>
              <w:tab/>
            </w:r>
            <w:r>
              <w:fldChar w:fldCharType="begin"/>
            </w:r>
            <w:r>
              <w:instrText xml:space="preserve"> PAGEREF _Toc100009 \h </w:instrText>
            </w:r>
            <w:r>
              <w:fldChar w:fldCharType="separate"/>
            </w:r>
            <w:r>
              <w:t>14</w:t>
            </w:r>
            <w:r>
              <w:fldChar w:fldCharType="end"/>
            </w:r>
          </w:hyperlink>
        </w:p>
        <w:p>
          <w:pPr>
            <w:pStyle w:val="11"/>
            <w:ind w:left="360"/>
            <w:tabs>
              <w:tab w:val="right" w:leader="dot" w:pos="9026"/>
            </w:tabs>
            <w:spacing w:before="120" w:after="60"/>
          </w:pPr>
          <w:hyperlink w:anchor="_Toc100010" w:history="1">
            <w:r>
              <w:rPr>
                <w:rStyle w:val="Hyperlink"/>
              </w:rPr>
              <w:t>2.4 Распределение Трейси—Видома</w:t>
            </w:r>
            <w:r>
              <w:tab/>
            </w:r>
            <w:r>
              <w:fldChar w:fldCharType="begin"/>
            </w:r>
            <w:r>
              <w:instrText xml:space="preserve"> PAGEREF _Toc100010 \h </w:instrText>
            </w:r>
            <w:r>
              <w:fldChar w:fldCharType="separate"/>
            </w:r>
            <w:r>
              <w:t>14</w:t>
            </w:r>
            <w:r>
              <w:fldChar w:fldCharType="end"/>
            </w:r>
          </w:hyperlink>
        </w:p>
        <w:p>
          <w:pPr>
            <w:pStyle w:val="11"/>
            <w:ind w:left="360"/>
            <w:tabs>
              <w:tab w:val="right" w:leader="dot" w:pos="9026"/>
            </w:tabs>
            <w:spacing w:before="120" w:after="60"/>
          </w:pPr>
          <w:hyperlink w:anchor="_Toc100011" w:history="1">
            <w:r>
              <w:rPr>
                <w:rStyle w:val="Hyperlink"/>
              </w:rPr>
              <w:t>2.5 Спектральный форм-фактор и отношение интервалов</w:t>
            </w:r>
            <w:r>
              <w:tab/>
            </w:r>
            <w:r>
              <w:fldChar w:fldCharType="begin"/>
            </w:r>
            <w:r>
              <w:instrText xml:space="preserve"> PAGEREF _Toc100011 \h </w:instrText>
            </w:r>
            <w:r>
              <w:fldChar w:fldCharType="separate"/>
            </w:r>
            <w:r>
              <w:t>15</w:t>
            </w:r>
            <w:r>
              <w:fldChar w:fldCharType="end"/>
            </w:r>
          </w:hyperlink>
        </w:p>
        <w:p>
          <w:pPr>
            <w:pStyle w:val="11"/>
            <w:ind w:left="360"/>
            <w:tabs>
              <w:tab w:val="right" w:leader="dot" w:pos="9026"/>
            </w:tabs>
            <w:spacing w:before="120" w:after="60"/>
          </w:pPr>
          <w:hyperlink w:anchor="_Toc100012" w:history="1">
            <w:r>
              <w:rPr>
                <w:rStyle w:val="Hyperlink"/>
              </w:rPr>
              <w:t>2.6 Коэффициент обратного участия (IPR)</w:t>
            </w:r>
            <w:r>
              <w:tab/>
            </w:r>
            <w:r>
              <w:fldChar w:fldCharType="begin"/>
            </w:r>
            <w:r>
              <w:instrText xml:space="preserve"> PAGEREF _Toc100012 \h </w:instrText>
            </w:r>
            <w:r>
              <w:fldChar w:fldCharType="separate"/>
            </w:r>
            <w:r>
              <w:t>16</w:t>
            </w:r>
            <w:r>
              <w:fldChar w:fldCharType="end"/>
            </w:r>
          </w:hyperlink>
        </w:p>
        <w:p>
          <w:pPr>
            <w:pStyle w:val="9"/>
            <w:tabs>
              <w:tab w:val="right" w:leader="dot" w:pos="9026"/>
            </w:tabs>
            <w:spacing w:before="120" w:after="60"/>
          </w:pPr>
          <w:hyperlink w:anchor="_Toc100013" w:history="1">
            <w:r>
              <w:rPr>
                <w:rStyle w:val="Hyperlink"/>
              </w:rPr>
              <w:t>ГЛАВА 3. АРХИТЕКТУРА LLM И ИЗВЛЕЧЕНИЕ АКТИВАЦИЙ</w:t>
            </w:r>
            <w:r>
              <w:tab/>
            </w:r>
            <w:r>
              <w:fldChar w:fldCharType="begin"/>
            </w:r>
            <w:r>
              <w:instrText xml:space="preserve"> PAGEREF _Toc100013 \h </w:instrText>
            </w:r>
            <w:r>
              <w:fldChar w:fldCharType="separate"/>
            </w:r>
            <w:r>
              <w:t>17</w:t>
            </w:r>
            <w:r>
              <w:fldChar w:fldCharType="end"/>
            </w:r>
          </w:hyperlink>
        </w:p>
        <w:p>
          <w:pPr>
            <w:pStyle w:val="11"/>
            <w:ind w:left="360"/>
            <w:tabs>
              <w:tab w:val="right" w:leader="dot" w:pos="9026"/>
            </w:tabs>
            <w:spacing w:before="120" w:after="60"/>
          </w:pPr>
          <w:hyperlink w:anchor="_Toc100014" w:history="1">
            <w:r>
              <w:rPr>
                <w:rStyle w:val="Hyperlink"/>
              </w:rPr>
              <w:t>3.1 Архитектура трансформера и механизм внимания</w:t>
            </w:r>
            <w:r>
              <w:tab/>
            </w:r>
            <w:r>
              <w:fldChar w:fldCharType="begin"/>
            </w:r>
            <w:r>
              <w:instrText xml:space="preserve"> PAGEREF _Toc100014 \h </w:instrText>
            </w:r>
            <w:r>
              <w:fldChar w:fldCharType="separate"/>
            </w:r>
            <w:r>
              <w:t>17</w:t>
            </w:r>
            <w:r>
              <w:fldChar w:fldCharType="end"/>
            </w:r>
          </w:hyperlink>
        </w:p>
        <w:p>
          <w:pPr>
            <w:pStyle w:val="11"/>
            <w:ind w:left="360"/>
            <w:tabs>
              <w:tab w:val="right" w:leader="dot" w:pos="9026"/>
            </w:tabs>
            <w:spacing w:before="120" w:after="60"/>
          </w:pPr>
          <w:hyperlink w:anchor="_Toc100015" w:history="1">
            <w:r>
              <w:rPr>
                <w:rStyle w:val="Hyperlink"/>
              </w:rPr>
              <w:t>3.2 Извлечение активаций из GPT-2</w:t>
            </w:r>
            <w:r>
              <w:tab/>
            </w:r>
            <w:r>
              <w:fldChar w:fldCharType="begin"/>
            </w:r>
            <w:r>
              <w:instrText xml:space="preserve"> PAGEREF _Toc100015 \h </w:instrText>
            </w:r>
            <w:r>
              <w:fldChar w:fldCharType="separate"/>
            </w:r>
            <w:r>
              <w:t>18</w:t>
            </w:r>
            <w:r>
              <w:fldChar w:fldCharType="end"/>
            </w:r>
          </w:hyperlink>
        </w:p>
        <w:p>
          <w:pPr>
            <w:pStyle w:val="11"/>
            <w:ind w:left="360"/>
            <w:tabs>
              <w:tab w:val="right" w:leader="dot" w:pos="9026"/>
            </w:tabs>
            <w:spacing w:before="120" w:after="60"/>
          </w:pPr>
          <w:hyperlink w:anchor="_Toc100016" w:history="1">
            <w:r>
              <w:rPr>
                <w:rStyle w:val="Hyperlink"/>
              </w:rPr>
              <w:t>3.3 Формирование ковариационных матриц активаций</w:t>
            </w:r>
            <w:r>
              <w:tab/>
            </w:r>
            <w:r>
              <w:fldChar w:fldCharType="begin"/>
            </w:r>
            <w:r>
              <w:instrText xml:space="preserve"> PAGEREF _Toc100016 \h </w:instrText>
            </w:r>
            <w:r>
              <w:fldChar w:fldCharType="separate"/>
            </w:r>
            <w:r>
              <w:t>19</w:t>
            </w:r>
            <w:r>
              <w:fldChar w:fldCharType="end"/>
            </w:r>
          </w:hyperlink>
        </w:p>
        <w:p>
          <w:pPr>
            <w:pStyle w:val="11"/>
            <w:ind w:left="360"/>
            <w:tabs>
              <w:tab w:val="right" w:leader="dot" w:pos="9026"/>
            </w:tabs>
            <w:spacing w:before="120" w:after="60"/>
          </w:pPr>
          <w:hyperlink w:anchor="_Toc100017" w:history="1">
            <w:r>
              <w:rPr>
                <w:rStyle w:val="Hyperlink"/>
              </w:rPr>
              <w:t>3.4 Предобработка и нормализация данных</w:t>
            </w:r>
            <w:r>
              <w:tab/>
            </w:r>
            <w:r>
              <w:fldChar w:fldCharType="begin"/>
            </w:r>
            <w:r>
              <w:instrText xml:space="preserve"> PAGEREF _Toc100017 \h </w:instrText>
            </w:r>
            <w:r>
              <w:fldChar w:fldCharType="separate"/>
            </w:r>
            <w:r>
              <w:t>19</w:t>
            </w:r>
            <w:r>
              <w:fldChar w:fldCharType="end"/>
            </w:r>
          </w:hyperlink>
        </w:p>
        <w:p>
          <w:pPr>
            <w:pStyle w:val="9"/>
            <w:tabs>
              <w:tab w:val="right" w:leader="dot" w:pos="9026"/>
            </w:tabs>
            <w:spacing w:before="120" w:after="60"/>
          </w:pPr>
          <w:hyperlink w:anchor="_Toc100018" w:history="1">
            <w:r>
              <w:rPr>
                <w:rStyle w:val="Hyperlink"/>
              </w:rPr>
              <w:t>ГЛАВА 4. МЕТОДОЛОГИЯ СПЕКТРАЛЬНОГО АНАЛИЗА</w:t>
            </w:r>
            <w:r>
              <w:tab/>
            </w:r>
            <w:r>
              <w:fldChar w:fldCharType="begin"/>
            </w:r>
            <w:r>
              <w:instrText xml:space="preserve"> PAGEREF _Toc100018 \h </w:instrText>
            </w:r>
            <w:r>
              <w:fldChar w:fldCharType="separate"/>
            </w:r>
            <w:r>
              <w:t>20</w:t>
            </w:r>
            <w:r>
              <w:fldChar w:fldCharType="end"/>
            </w:r>
          </w:hyperlink>
        </w:p>
        <w:p>
          <w:pPr>
            <w:pStyle w:val="11"/>
            <w:ind w:left="360"/>
            <w:tabs>
              <w:tab w:val="right" w:leader="dot" w:pos="9026"/>
            </w:tabs>
            <w:spacing w:before="120" w:after="60"/>
          </w:pPr>
          <w:hyperlink w:anchor="_Toc100019" w:history="1">
            <w:r>
              <w:rPr>
                <w:rStyle w:val="Hyperlink"/>
              </w:rPr>
              <w:t>4.1 Функция advanced_spectral_analysis</w:t>
            </w:r>
            <w:r>
              <w:tab/>
            </w:r>
            <w:r>
              <w:fldChar w:fldCharType="begin"/>
            </w:r>
            <w:r>
              <w:instrText xml:space="preserve"> PAGEREF _Toc100019 \h </w:instrText>
            </w:r>
            <w:r>
              <w:fldChar w:fldCharType="separate"/>
            </w:r>
            <w:r>
              <w:t>20</w:t>
            </w:r>
            <w:r>
              <w:fldChar w:fldCharType="end"/>
            </w:r>
          </w:hyperlink>
        </w:p>
        <w:p>
          <w:pPr>
            <w:pStyle w:val="11"/>
            <w:ind w:left="360"/>
            <w:tabs>
              <w:tab w:val="right" w:leader="dot" w:pos="9026"/>
            </w:tabs>
            <w:spacing w:before="120" w:after="60"/>
          </w:pPr>
          <w:hyperlink w:anchor="_Toc100020" w:history="1">
            <w:r>
              <w:rPr>
                <w:rStyle w:val="Hyperlink"/>
              </w:rPr>
              <w:t>4.2 Визуализация плотности собственных значений</w:t>
            </w:r>
            <w:r>
              <w:tab/>
            </w:r>
            <w:r>
              <w:fldChar w:fldCharType="begin"/>
            </w:r>
            <w:r>
              <w:instrText xml:space="preserve"> PAGEREF _Toc100020 \h </w:instrText>
            </w:r>
            <w:r>
              <w:fldChar w:fldCharType="separate"/>
            </w:r>
            <w:r>
              <w:t>20</w:t>
            </w:r>
            <w:r>
              <w:fldChar w:fldCharType="end"/>
            </w:r>
          </w:hyperlink>
        </w:p>
        <w:p>
          <w:pPr>
            <w:pStyle w:val="11"/>
            <w:ind w:left="360"/>
            <w:tabs>
              <w:tab w:val="right" w:leader="dot" w:pos="9026"/>
            </w:tabs>
            <w:spacing w:before="120" w:after="60"/>
          </w:pPr>
          <w:hyperlink w:anchor="_Toc100021" w:history="1">
            <w:r>
              <w:rPr>
                <w:rStyle w:val="Hyperlink"/>
              </w:rPr>
              <w:t>4.3 Метрики спектрального анализа</w:t>
            </w:r>
            <w:r>
              <w:tab/>
            </w:r>
            <w:r>
              <w:fldChar w:fldCharType="begin"/>
            </w:r>
            <w:r>
              <w:instrText xml:space="preserve"> PAGEREF _Toc100021 \h </w:instrText>
            </w:r>
            <w:r>
              <w:fldChar w:fldCharType="separate"/>
            </w:r>
            <w:r>
              <w:t>21</w:t>
            </w:r>
            <w:r>
              <w:fldChar w:fldCharType="end"/>
            </w:r>
          </w:hyperlink>
        </w:p>
        <w:p>
          <w:pPr>
            <w:pStyle w:val="11"/>
            <w:ind w:left="360"/>
            <w:tabs>
              <w:tab w:val="right" w:leader="dot" w:pos="9026"/>
            </w:tabs>
            <w:spacing w:before="120" w:after="60"/>
          </w:pPr>
          <w:hyperlink w:anchor="_Toc100022" w:history="1">
            <w:r>
              <w:rPr>
                <w:rStyle w:val="Hyperlink"/>
              </w:rPr>
              <w:t>4.4 Статистическая значимость и пороговые значения</w:t>
            </w:r>
            <w:r>
              <w:tab/>
            </w:r>
            <w:r>
              <w:fldChar w:fldCharType="begin"/>
            </w:r>
            <w:r>
              <w:instrText xml:space="preserve"> PAGEREF _Toc100022 \h </w:instrText>
            </w:r>
            <w:r>
              <w:fldChar w:fldCharType="separate"/>
            </w:r>
            <w:r>
              <w:t>23</w:t>
            </w:r>
            <w:r>
              <w:fldChar w:fldCharType="end"/>
            </w:r>
          </w:hyperlink>
        </w:p>
        <w:p>
          <w:pPr>
            <w:pStyle w:val="9"/>
            <w:tabs>
              <w:tab w:val="right" w:leader="dot" w:pos="9026"/>
            </w:tabs>
            <w:spacing w:before="120" w:after="60"/>
          </w:pPr>
          <w:hyperlink w:anchor="_Toc100023" w:history="1">
            <w:r>
              <w:rPr>
                <w:rStyle w:val="Hyperlink"/>
              </w:rPr>
              <w:t>ГЛАВА 5. МОДЕЛЬ СВОБОДНОЙ ЭНЕРГИИ И РЕЖИМЫ ГЕНЕРАЦИИ</w:t>
            </w:r>
            <w:r>
              <w:tab/>
            </w:r>
            <w:r>
              <w:fldChar w:fldCharType="begin"/>
            </w:r>
            <w:r>
              <w:instrText xml:space="preserve"> PAGEREF _Toc100023 \h </w:instrText>
            </w:r>
            <w:r>
              <w:fldChar w:fldCharType="separate"/>
            </w:r>
            <w:r>
              <w:t>23</w:t>
            </w:r>
            <w:r>
              <w:fldChar w:fldCharType="end"/>
            </w:r>
          </w:hyperlink>
        </w:p>
        <w:p>
          <w:pPr>
            <w:pStyle w:val="11"/>
            <w:ind w:left="360"/>
            <w:tabs>
              <w:tab w:val="right" w:leader="dot" w:pos="9026"/>
            </w:tabs>
            <w:spacing w:before="120" w:after="60"/>
          </w:pPr>
          <w:hyperlink w:anchor="_Toc100024" w:history="1">
            <w:r>
              <w:rPr>
                <w:rStyle w:val="Hyperlink"/>
              </w:rPr>
              <w:t>5.1 Термодинамическая аналогия</w:t>
            </w:r>
            <w:r>
              <w:tab/>
            </w:r>
            <w:r>
              <w:fldChar w:fldCharType="begin"/>
            </w:r>
            <w:r>
              <w:instrText xml:space="preserve"> PAGEREF _Toc100024 \h </w:instrText>
            </w:r>
            <w:r>
              <w:fldChar w:fldCharType="separate"/>
            </w:r>
            <w:r>
              <w:t>23</w:t>
            </w:r>
            <w:r>
              <w:fldChar w:fldCharType="end"/>
            </w:r>
          </w:hyperlink>
        </w:p>
        <w:p>
          <w:pPr>
            <w:pStyle w:val="11"/>
            <w:ind w:left="360"/>
            <w:tabs>
              <w:tab w:val="right" w:leader="dot" w:pos="9026"/>
            </w:tabs>
            <w:spacing w:before="120" w:after="60"/>
          </w:pPr>
          <w:hyperlink w:anchor="_Toc100025" w:history="1">
            <w:r>
              <w:rPr>
                <w:rStyle w:val="Hyperlink"/>
              </w:rPr>
              <w:t>5.2 Фактическая генерация как связанное состояние</w:t>
            </w:r>
            <w:r>
              <w:tab/>
            </w:r>
            <w:r>
              <w:fldChar w:fldCharType="begin"/>
            </w:r>
            <w:r>
              <w:instrText xml:space="preserve"> PAGEREF _Toc100025 \h </w:instrText>
            </w:r>
            <w:r>
              <w:fldChar w:fldCharType="separate"/>
            </w:r>
            <w:r>
              <w:t>24</w:t>
            </w:r>
            <w:r>
              <w:fldChar w:fldCharType="end"/>
            </w:r>
          </w:hyperlink>
        </w:p>
        <w:p>
          <w:pPr>
            <w:pStyle w:val="11"/>
            <w:ind w:left="360"/>
            <w:tabs>
              <w:tab w:val="right" w:leader="dot" w:pos="9026"/>
            </w:tabs>
            <w:spacing w:before="120" w:after="60"/>
          </w:pPr>
          <w:hyperlink w:anchor="_Toc100026" w:history="1">
            <w:r>
              <w:rPr>
                <w:rStyle w:val="Hyperlink"/>
              </w:rPr>
              <w:t>5.3 Творческая генерация как газовая фаза</w:t>
            </w:r>
            <w:r>
              <w:tab/>
            </w:r>
            <w:r>
              <w:fldChar w:fldCharType="begin"/>
            </w:r>
            <w:r>
              <w:instrText xml:space="preserve"> PAGEREF _Toc100026 \h </w:instrText>
            </w:r>
            <w:r>
              <w:fldChar w:fldCharType="separate"/>
            </w:r>
            <w:r>
              <w:t>25</w:t>
            </w:r>
            <w:r>
              <w:fldChar w:fldCharType="end"/>
            </w:r>
          </w:hyperlink>
        </w:p>
        <w:p>
          <w:pPr>
            <w:pStyle w:val="11"/>
            <w:ind w:left="360"/>
            <w:tabs>
              <w:tab w:val="right" w:leader="dot" w:pos="9026"/>
            </w:tabs>
            <w:spacing w:before="120" w:after="60"/>
          </w:pPr>
          <w:hyperlink w:anchor="_Toc100027" w:history="1">
            <w:r>
              <w:rPr>
                <w:rStyle w:val="Hyperlink"/>
              </w:rPr>
              <w:t>5.4 Ренормализационная группа и поток по слоям</w:t>
            </w:r>
            <w:r>
              <w:tab/>
            </w:r>
            <w:r>
              <w:fldChar w:fldCharType="begin"/>
            </w:r>
            <w:r>
              <w:instrText xml:space="preserve"> PAGEREF _Toc100027 \h </w:instrText>
            </w:r>
            <w:r>
              <w:fldChar w:fldCharType="separate"/>
            </w:r>
            <w:r>
              <w:t>26</w:t>
            </w:r>
            <w:r>
              <w:fldChar w:fldCharType="end"/>
            </w:r>
          </w:hyperlink>
        </w:p>
        <w:p>
          <w:pPr>
            <w:pStyle w:val="11"/>
            <w:ind w:left="360"/>
            <w:tabs>
              <w:tab w:val="right" w:leader="dot" w:pos="9026"/>
            </w:tabs>
            <w:spacing w:before="120" w:after="60"/>
          </w:pPr>
          <w:hyperlink w:anchor="_Toc100028" w:history="1">
            <w:r>
              <w:rPr>
                <w:rStyle w:val="Hyperlink"/>
              </w:rPr>
              <w:t>5.5 Информационно-теоретическая интерпретация</w:t>
            </w:r>
            <w:r>
              <w:tab/>
            </w:r>
            <w:r>
              <w:fldChar w:fldCharType="begin"/>
            </w:r>
            <w:r>
              <w:instrText xml:space="preserve"> PAGEREF _Toc100028 \h </w:instrText>
            </w:r>
            <w:r>
              <w:fldChar w:fldCharType="separate"/>
            </w:r>
            <w:r>
              <w:t>26</w:t>
            </w:r>
            <w:r>
              <w:fldChar w:fldCharType="end"/>
            </w:r>
          </w:hyperlink>
        </w:p>
        <w:p>
          <w:pPr>
            <w:pStyle w:val="9"/>
            <w:tabs>
              <w:tab w:val="right" w:leader="dot" w:pos="9026"/>
            </w:tabs>
            <w:spacing w:before="120" w:after="60"/>
          </w:pPr>
          <w:hyperlink w:anchor="_Toc100029" w:history="1">
            <w:r>
              <w:rPr>
                <w:rStyle w:val="Hyperlink"/>
              </w:rPr>
              <w:t>ГЛАВА 6. ЭКСПЕРИМЕНТАЛЬНЫЕ РЕЗУЛЬТАТЫ</w:t>
            </w:r>
            <w:r>
              <w:tab/>
            </w:r>
            <w:r>
              <w:fldChar w:fldCharType="begin"/>
            </w:r>
            <w:r>
              <w:instrText xml:space="preserve"> PAGEREF _Toc100029 \h </w:instrText>
            </w:r>
            <w:r>
              <w:fldChar w:fldCharType="separate"/>
            </w:r>
            <w:r>
              <w:t>27</w:t>
            </w:r>
            <w:r>
              <w:fldChar w:fldCharType="end"/>
            </w:r>
          </w:hyperlink>
        </w:p>
        <w:p>
          <w:pPr>
            <w:pStyle w:val="11"/>
            <w:ind w:left="360"/>
            <w:tabs>
              <w:tab w:val="right" w:leader="dot" w:pos="9026"/>
            </w:tabs>
            <w:spacing w:before="120" w:after="60"/>
          </w:pPr>
          <w:hyperlink w:anchor="_Toc100030" w:history="1">
            <w:r>
              <w:rPr>
                <w:rStyle w:val="Hyperlink"/>
              </w:rPr>
              <w:t>6.1 Температурное сканирование</w:t>
            </w:r>
            <w:r>
              <w:tab/>
            </w:r>
            <w:r>
              <w:fldChar w:fldCharType="begin"/>
            </w:r>
            <w:r>
              <w:instrText xml:space="preserve"> PAGEREF _Toc100030 \h </w:instrText>
            </w:r>
            <w:r>
              <w:fldChar w:fldCharType="separate"/>
            </w:r>
            <w:r>
              <w:t>27</w:t>
            </w:r>
            <w:r>
              <w:fldChar w:fldCharType="end"/>
            </w:r>
          </w:hyperlink>
        </w:p>
        <w:p>
          <w:pPr>
            <w:pStyle w:val="11"/>
            <w:ind w:left="360"/>
            <w:tabs>
              <w:tab w:val="right" w:leader="dot" w:pos="9026"/>
            </w:tabs>
            <w:spacing w:before="120" w:after="60"/>
          </w:pPr>
          <w:hyperlink w:anchor="_Toc100031" w:history="1">
            <w:r>
              <w:rPr>
                <w:rStyle w:val="Hyperlink"/>
              </w:rPr>
              <w:t>6.2 Перенос между слоями</w:t>
            </w:r>
            <w:r>
              <w:tab/>
            </w:r>
            <w:r>
              <w:fldChar w:fldCharType="begin"/>
            </w:r>
            <w:r>
              <w:instrText xml:space="preserve"> PAGEREF _Toc100031 \h </w:instrText>
            </w:r>
            <w:r>
              <w:fldChar w:fldCharType="separate"/>
            </w:r>
            <w:r>
              <w:t>28</w:t>
            </w:r>
            <w:r>
              <w:fldChar w:fldCharType="end"/>
            </w:r>
          </w:hyperlink>
        </w:p>
        <w:p>
          <w:pPr>
            <w:pStyle w:val="11"/>
            <w:ind w:left="360"/>
            <w:tabs>
              <w:tab w:val="right" w:leader="dot" w:pos="9026"/>
            </w:tabs>
            <w:spacing w:before="120" w:after="60"/>
          </w:pPr>
          <w:hyperlink w:anchor="_Toc100032" w:history="1">
            <w:r>
              <w:rPr>
                <w:rStyle w:val="Hyperlink"/>
              </w:rPr>
              <w:t>6.3 Зависимость от длины промпта</w:t>
            </w:r>
            <w:r>
              <w:tab/>
            </w:r>
            <w:r>
              <w:fldChar w:fldCharType="begin"/>
            </w:r>
            <w:r>
              <w:instrText xml:space="preserve"> PAGEREF _Toc100032 \h </w:instrText>
            </w:r>
            <w:r>
              <w:fldChar w:fldCharType="separate"/>
            </w:r>
            <w:r>
              <w:t>29</w:t>
            </w:r>
            <w:r>
              <w:fldChar w:fldCharType="end"/>
            </w:r>
          </w:hyperlink>
        </w:p>
        <w:p>
          <w:pPr>
            <w:pStyle w:val="11"/>
            <w:ind w:left="360"/>
            <w:tabs>
              <w:tab w:val="right" w:leader="dot" w:pos="9026"/>
            </w:tabs>
            <w:spacing w:before="120" w:after="60"/>
          </w:pPr>
          <w:hyperlink w:anchor="_Toc100033" w:history="1">
            <w:r>
              <w:rPr>
                <w:rStyle w:val="Hyperlink"/>
              </w:rPr>
              <w:t>6.4 Сводная таблица результатов</w:t>
            </w:r>
            <w:r>
              <w:tab/>
            </w:r>
            <w:r>
              <w:fldChar w:fldCharType="begin"/>
            </w:r>
            <w:r>
              <w:instrText xml:space="preserve"> PAGEREF _Toc100033 \h </w:instrText>
            </w:r>
            <w:r>
              <w:fldChar w:fldCharType="separate"/>
            </w:r>
            <w:r>
              <w:t>30</w:t>
            </w:r>
            <w:r>
              <w:fldChar w:fldCharType="end"/>
            </w:r>
          </w:hyperlink>
        </w:p>
        <w:p>
          <w:pPr>
            <w:pStyle w:val="9"/>
            <w:tabs>
              <w:tab w:val="right" w:leader="dot" w:pos="9026"/>
            </w:tabs>
            <w:spacing w:before="120" w:after="60"/>
          </w:pPr>
          <w:hyperlink w:anchor="_Toc100034" w:history="1">
            <w:r>
              <w:rPr>
                <w:rStyle w:val="Hyperlink"/>
              </w:rPr>
              <w:t>ГЛАВА 7. ОБСУЖДЕНИЕ</w:t>
            </w:r>
            <w:r>
              <w:tab/>
            </w:r>
            <w:r>
              <w:fldChar w:fldCharType="begin"/>
            </w:r>
            <w:r>
              <w:instrText xml:space="preserve"> PAGEREF _Toc100034 \h </w:instrText>
            </w:r>
            <w:r>
              <w:fldChar w:fldCharType="separate"/>
            </w:r>
            <w:r>
              <w:t>31</w:t>
            </w:r>
            <w:r>
              <w:fldChar w:fldCharType="end"/>
            </w:r>
          </w:hyperlink>
        </w:p>
        <w:p>
          <w:pPr>
            <w:pStyle w:val="11"/>
            <w:ind w:left="360"/>
            <w:tabs>
              <w:tab w:val="right" w:leader="dot" w:pos="9026"/>
            </w:tabs>
            <w:spacing w:before="120" w:after="60"/>
          </w:pPr>
          <w:hyperlink w:anchor="_Toc100035" w:history="1">
            <w:r>
              <w:rPr>
                <w:rStyle w:val="Hyperlink"/>
              </w:rPr>
              <w:t>7.1 Интерпретация результатов</w:t>
            </w:r>
            <w:r>
              <w:tab/>
            </w:r>
            <w:r>
              <w:fldChar w:fldCharType="begin"/>
            </w:r>
            <w:r>
              <w:instrText xml:space="preserve"> PAGEREF _Toc100035 \h </w:instrText>
            </w:r>
            <w:r>
              <w:fldChar w:fldCharType="separate"/>
            </w:r>
            <w:r>
              <w:t>31</w:t>
            </w:r>
            <w:r>
              <w:fldChar w:fldCharType="end"/>
            </w:r>
          </w:hyperlink>
        </w:p>
        <w:p>
          <w:pPr>
            <w:pStyle w:val="11"/>
            <w:ind w:left="360"/>
            <w:tabs>
              <w:tab w:val="right" w:leader="dot" w:pos="9026"/>
            </w:tabs>
            <w:spacing w:before="120" w:after="60"/>
          </w:pPr>
          <w:hyperlink w:anchor="_Toc100036" w:history="1">
            <w:r>
              <w:rPr>
                <w:rStyle w:val="Hyperlink"/>
              </w:rPr>
              <w:t>7.2 Сравнение с существующими подходами</w:t>
            </w:r>
            <w:r>
              <w:tab/>
            </w:r>
            <w:r>
              <w:fldChar w:fldCharType="begin"/>
            </w:r>
            <w:r>
              <w:instrText xml:space="preserve"> PAGEREF _Toc100036 \h </w:instrText>
            </w:r>
            <w:r>
              <w:fldChar w:fldCharType="separate"/>
            </w:r>
            <w:r>
              <w:t>31</w:t>
            </w:r>
            <w:r>
              <w:fldChar w:fldCharType="end"/>
            </w:r>
          </w:hyperlink>
        </w:p>
        <w:p>
          <w:pPr>
            <w:pStyle w:val="11"/>
            <w:ind w:left="360"/>
            <w:tabs>
              <w:tab w:val="right" w:leader="dot" w:pos="9026"/>
            </w:tabs>
            <w:spacing w:before="120" w:after="60"/>
          </w:pPr>
          <w:hyperlink w:anchor="_Toc100037" w:history="1">
            <w:r>
              <w:rPr>
                <w:rStyle w:val="Hyperlink"/>
              </w:rPr>
              <w:t>7.3 Ограничения метода</w:t>
            </w:r>
            <w:r>
              <w:tab/>
            </w:r>
            <w:r>
              <w:fldChar w:fldCharType="begin"/>
            </w:r>
            <w:r>
              <w:instrText xml:space="preserve"> PAGEREF _Toc100037 \h </w:instrText>
            </w:r>
            <w:r>
              <w:fldChar w:fldCharType="separate"/>
            </w:r>
            <w:r>
              <w:t>32</w:t>
            </w:r>
            <w:r>
              <w:fldChar w:fldCharType="end"/>
            </w:r>
          </w:hyperlink>
        </w:p>
        <w:p>
          <w:pPr>
            <w:pStyle w:val="9"/>
            <w:tabs>
              <w:tab w:val="right" w:leader="dot" w:pos="9026"/>
            </w:tabs>
            <w:spacing w:before="120" w:after="60"/>
          </w:pPr>
          <w:hyperlink w:anchor="_Toc100038" w:history="1">
            <w:r>
              <w:rPr>
                <w:rStyle w:val="Hyperlink"/>
              </w:rPr>
              <w:t>ГЛАВА 8. ЗАКЛЮЧЕНИЕ И ПЕРСПЕКТИВЫ</w:t>
            </w:r>
            <w:r>
              <w:tab/>
            </w:r>
            <w:r>
              <w:fldChar w:fldCharType="begin"/>
            </w:r>
            <w:r>
              <w:instrText xml:space="preserve"> PAGEREF _Toc100038 \h </w:instrText>
            </w:r>
            <w:r>
              <w:fldChar w:fldCharType="separate"/>
            </w:r>
            <w:r>
              <w:t>33</w:t>
            </w:r>
            <w:r>
              <w:fldChar w:fldCharType="end"/>
            </w:r>
          </w:hyperlink>
        </w:p>
        <w:p>
          <w:pPr>
            <w:pStyle w:val="11"/>
            <w:ind w:left="360"/>
            <w:tabs>
              <w:tab w:val="right" w:leader="dot" w:pos="9026"/>
            </w:tabs>
            <w:spacing w:before="120" w:after="60"/>
          </w:pPr>
          <w:hyperlink w:anchor="_Toc100039" w:history="1">
            <w:r>
              <w:rPr>
                <w:rStyle w:val="Hyperlink"/>
              </w:rPr>
              <w:t>8.1 Основные выводы</w:t>
            </w:r>
            <w:r>
              <w:tab/>
            </w:r>
            <w:r>
              <w:fldChar w:fldCharType="begin"/>
            </w:r>
            <w:r>
              <w:instrText xml:space="preserve"> PAGEREF _Toc100039 \h </w:instrText>
            </w:r>
            <w:r>
              <w:fldChar w:fldCharType="separate"/>
            </w:r>
            <w:r>
              <w:t>33</w:t>
            </w:r>
            <w:r>
              <w:fldChar w:fldCharType="end"/>
            </w:r>
          </w:hyperlink>
        </w:p>
        <w:p>
          <w:pPr>
            <w:pStyle w:val="11"/>
            <w:ind w:left="360"/>
            <w:tabs>
              <w:tab w:val="right" w:leader="dot" w:pos="9026"/>
            </w:tabs>
            <w:spacing w:before="120" w:after="60"/>
          </w:pPr>
          <w:hyperlink w:anchor="_Toc100040" w:history="1">
            <w:r>
              <w:rPr>
                <w:rStyle w:val="Hyperlink"/>
              </w:rPr>
              <w:t>8.2 Вклад в науку</w:t>
            </w:r>
            <w:r>
              <w:tab/>
            </w:r>
            <w:r>
              <w:fldChar w:fldCharType="begin"/>
            </w:r>
            <w:r>
              <w:instrText xml:space="preserve"> PAGEREF _Toc100040 \h </w:instrText>
            </w:r>
            <w:r>
              <w:fldChar w:fldCharType="separate"/>
            </w:r>
            <w:r>
              <w:t>33</w:t>
            </w:r>
            <w:r>
              <w:fldChar w:fldCharType="end"/>
            </w:r>
          </w:hyperlink>
        </w:p>
        <w:p>
          <w:pPr>
            <w:pStyle w:val="11"/>
            <w:ind w:left="360"/>
            <w:tabs>
              <w:tab w:val="right" w:leader="dot" w:pos="9026"/>
            </w:tabs>
            <w:spacing w:before="120" w:after="60"/>
          </w:pPr>
          <w:hyperlink w:anchor="_Toc100041" w:history="1">
            <w:r>
              <w:rPr>
                <w:rStyle w:val="Hyperlink"/>
              </w:rPr>
              <w:t>8.3 Направления будущих исследований</w:t>
            </w:r>
            <w:r>
              <w:tab/>
            </w:r>
            <w:r>
              <w:fldChar w:fldCharType="begin"/>
            </w:r>
            <w:r>
              <w:instrText xml:space="preserve"> PAGEREF _Toc100041 \h </w:instrText>
            </w:r>
            <w:r>
              <w:fldChar w:fldCharType="separate"/>
            </w:r>
            <w:r>
              <w:t>34</w:t>
            </w:r>
            <w:r>
              <w:fldChar w:fldCharType="end"/>
            </w:r>
          </w:hyperlink>
        </w:p>
        <w:p>
          <w:pPr>
            <w:pStyle w:val="9"/>
            <w:tabs>
              <w:tab w:val="right" w:leader="dot" w:pos="9026"/>
            </w:tabs>
            <w:spacing w:before="120" w:after="60"/>
          </w:pPr>
          <w:hyperlink w:anchor="_Toc100042" w:history="1">
            <w:r>
              <w:rPr>
                <w:rStyle w:val="Hyperlink"/>
              </w:rPr>
              <w:t>ПРИЛОЖЕНИЕ А. КОД ИЗВЛЕЧЕНИЯ АКТИВАЦИЙ</w:t>
            </w:r>
            <w:r>
              <w:tab/>
            </w:r>
            <w:r>
              <w:fldChar w:fldCharType="begin"/>
            </w:r>
            <w:r>
              <w:instrText xml:space="preserve"> PAGEREF _Toc100042 \h </w:instrText>
            </w:r>
            <w:r>
              <w:fldChar w:fldCharType="separate"/>
            </w:r>
            <w:r>
              <w:t>35</w:t>
            </w:r>
            <w:r>
              <w:fldChar w:fldCharType="end"/>
            </w:r>
          </w:hyperlink>
        </w:p>
        <w:p>
          <w:pPr>
            <w:pStyle w:val="9"/>
            <w:tabs>
              <w:tab w:val="right" w:leader="dot" w:pos="9026"/>
            </w:tabs>
            <w:spacing w:before="120" w:after="60"/>
          </w:pPr>
          <w:hyperlink w:anchor="_Toc100043" w:history="1">
            <w:r>
              <w:rPr>
                <w:rStyle w:val="Hyperlink"/>
              </w:rPr>
              <w:t>ПРИЛОЖЕНИЕ Б. МАТЕМАТИЧЕСКИЕ ДЕТАЛИ</w:t>
            </w:r>
            <w:r>
              <w:tab/>
            </w:r>
            <w:r>
              <w:fldChar w:fldCharType="begin"/>
            </w:r>
            <w:r>
              <w:instrText xml:space="preserve"> PAGEREF _Toc100043 \h </w:instrText>
            </w:r>
            <w:r>
              <w:fldChar w:fldCharType="separate"/>
            </w:r>
            <w:r>
              <w:t>38</w:t>
            </w:r>
            <w:r>
              <w:fldChar w:fldCharType="end"/>
            </w:r>
          </w:hyperlink>
        </w:p>
        <w:p>
          <w:pPr>
            <w:pStyle w:val="11"/>
            <w:ind w:left="360"/>
            <w:tabs>
              <w:tab w:val="right" w:leader="dot" w:pos="9026"/>
            </w:tabs>
            <w:spacing w:before="120" w:after="60"/>
          </w:pPr>
          <w:hyperlink w:anchor="_Toc100044" w:history="1">
            <w:r>
              <w:rPr>
                <w:rStyle w:val="Hyperlink"/>
              </w:rPr>
              <w:t>Б.1 Вывод закона Марченко—Пастура</w:t>
            </w:r>
            <w:r>
              <w:tab/>
            </w:r>
            <w:r>
              <w:fldChar w:fldCharType="begin"/>
            </w:r>
            <w:r>
              <w:instrText xml:space="preserve"> PAGEREF _Toc100044 \h </w:instrText>
            </w:r>
            <w:r>
              <w:fldChar w:fldCharType="separate"/>
            </w:r>
            <w:r>
              <w:t>38</w:t>
            </w:r>
            <w:r>
              <w:fldChar w:fldCharType="end"/>
            </w:r>
          </w:hyperlink>
        </w:p>
        <w:p>
          <w:pPr>
            <w:pStyle w:val="11"/>
            <w:ind w:left="360"/>
            <w:tabs>
              <w:tab w:val="right" w:leader="dot" w:pos="9026"/>
            </w:tabs>
            <w:spacing w:before="120" w:after="60"/>
          </w:pPr>
          <w:hyperlink w:anchor="_Toc100045" w:history="1">
            <w:r>
              <w:rPr>
                <w:rStyle w:val="Hyperlink"/>
              </w:rPr>
              <w:t>Б.2 Асимптотика Трейси—Видома</w:t>
            </w:r>
            <w:r>
              <w:tab/>
            </w:r>
            <w:r>
              <w:fldChar w:fldCharType="begin"/>
            </w:r>
            <w:r>
              <w:instrText xml:space="preserve"> PAGEREF _Toc100045 \h </w:instrText>
            </w:r>
            <w:r>
              <w:fldChar w:fldCharType="separate"/>
            </w:r>
            <w:r>
              <w:t>38</w:t>
            </w:r>
            <w:r>
              <w:fldChar w:fldCharType="end"/>
            </w:r>
          </w:hyperlink>
        </w:p>
        <w:p>
          <w:pPr>
            <w:pStyle w:val="11"/>
            <w:ind w:left="360"/>
            <w:tabs>
              <w:tab w:val="right" w:leader="dot" w:pos="9026"/>
            </w:tabs>
            <w:spacing w:before="120" w:after="60"/>
          </w:pPr>
          <w:hyperlink w:anchor="_Toc100046" w:history="1">
            <w:r>
              <w:rPr>
                <w:rStyle w:val="Hyperlink"/>
              </w:rPr>
              <w:t>Б.3 Коэффициент обратного участия и локализация Андерсона</w:t>
            </w:r>
            <w:r>
              <w:tab/>
            </w:r>
            <w:r>
              <w:fldChar w:fldCharType="begin"/>
            </w:r>
            <w:r>
              <w:instrText xml:space="preserve"> PAGEREF _Toc100046 \h </w:instrText>
            </w:r>
            <w:r>
              <w:fldChar w:fldCharType="separate"/>
            </w:r>
            <w:r>
              <w:t>38</w:t>
            </w:r>
            <w:r>
              <w:fldChar w:fldCharType="end"/>
            </w:r>
          </w:hyperlink>
        </w:p>
        <w:p>
          <w:pPr>
            <w:pStyle w:val="11"/>
            <w:ind w:left="360"/>
            <w:tabs>
              <w:tab w:val="right" w:leader="dot" w:pos="9026"/>
            </w:tabs>
            <w:spacing w:before="120" w:after="60"/>
          </w:pPr>
          <w:hyperlink w:anchor="_Toc100047" w:history="1">
            <w:r>
              <w:rPr>
                <w:rStyle w:val="Hyperlink"/>
              </w:rPr>
              <w:t>Б.4 Ренормализационная группа для спектральной энтропии</w:t>
            </w:r>
            <w:r>
              <w:tab/>
            </w:r>
            <w:r>
              <w:fldChar w:fldCharType="begin"/>
            </w:r>
            <w:r>
              <w:instrText xml:space="preserve"> PAGEREF _Toc100047 \h </w:instrText>
            </w:r>
            <w:r>
              <w:fldChar w:fldCharType="separate"/>
            </w:r>
            <w:r>
              <w:t>38</w:t>
            </w:r>
            <w:r>
              <w:fldChar w:fldCharType="end"/>
            </w:r>
          </w:hyperlink>
        </w:p>
        <w:p>
          <w:pPr>
            <w:pStyle w:val="9"/>
            <w:tabs>
              <w:tab w:val="right" w:leader="dot" w:pos="9026"/>
            </w:tabs>
            <w:spacing w:before="120" w:after="60"/>
          </w:pPr>
          <w:hyperlink w:anchor="_Toc100048" w:history="1">
            <w:r>
              <w:rPr>
                <w:rStyle w:val="Hyperlink"/>
              </w:rPr>
              <w:t>ПРИЛОЖЕНИЕ В. ДОПОЛНИТЕЛЬНЫЕ ЭКСПЕРИМЕНТЫ</w:t>
            </w:r>
            <w:r>
              <w:tab/>
            </w:r>
            <w:r>
              <w:fldChar w:fldCharType="begin"/>
            </w:r>
            <w:r>
              <w:instrText xml:space="preserve"> PAGEREF _Toc100048 \h </w:instrText>
            </w:r>
            <w:r>
              <w:fldChar w:fldCharType="separate"/>
            </w:r>
            <w:r>
              <w:t>39</w:t>
            </w:r>
            <w:r>
              <w:fldChar w:fldCharType="end"/>
            </w:r>
          </w:hyperlink>
        </w:p>
        <w:p>
          <w:pPr>
            <w:pStyle w:val="11"/>
            <w:ind w:left="360"/>
            <w:tabs>
              <w:tab w:val="right" w:leader="dot" w:pos="9026"/>
            </w:tabs>
            <w:spacing w:before="120" w:after="60"/>
          </w:pPr>
          <w:hyperlink w:anchor="_Toc100049" w:history="1">
            <w:r>
              <w:rPr>
                <w:rStyle w:val="Hyperlink"/>
              </w:rPr>
              <w:t>В.1 Анализ робастности по отношению к выбору модели</w:t>
            </w:r>
            <w:r>
              <w:tab/>
            </w:r>
            <w:r>
              <w:fldChar w:fldCharType="begin"/>
            </w:r>
            <w:r>
              <w:instrText xml:space="preserve"> PAGEREF _Toc100049 \h </w:instrText>
            </w:r>
            <w:r>
              <w:fldChar w:fldCharType="separate"/>
            </w:r>
            <w:r>
              <w:t>39</w:t>
            </w:r>
            <w:r>
              <w:fldChar w:fldCharType="end"/>
            </w:r>
          </w:hyperlink>
        </w:p>
        <w:p>
          <w:pPr>
            <w:pStyle w:val="11"/>
            <w:ind w:left="360"/>
            <w:tabs>
              <w:tab w:val="right" w:leader="dot" w:pos="9026"/>
            </w:tabs>
            <w:spacing w:before="120" w:after="60"/>
          </w:pPr>
          <w:hyperlink w:anchor="_Toc100050" w:history="1">
            <w:r>
              <w:rPr>
                <w:rStyle w:val="Hyperlink"/>
              </w:rPr>
              <w:t>В.2 Влияние метода токенизации</w:t>
            </w:r>
            <w:r>
              <w:tab/>
            </w:r>
            <w:r>
              <w:fldChar w:fldCharType="begin"/>
            </w:r>
            <w:r>
              <w:instrText xml:space="preserve"> PAGEREF _Toc100050 \h </w:instrText>
            </w:r>
            <w:r>
              <w:fldChar w:fldCharType="separate"/>
            </w:r>
            <w:r>
              <w:t>40</w:t>
            </w:r>
            <w:r>
              <w:fldChar w:fldCharType="end"/>
            </w:r>
          </w:hyperlink>
        </w:p>
        <w:p>
          <w:pPr>
            <w:pStyle w:val="11"/>
            <w:ind w:left="360"/>
            <w:tabs>
              <w:tab w:val="right" w:leader="dot" w:pos="9026"/>
            </w:tabs>
            <w:spacing w:before="120" w:after="60"/>
          </w:pPr>
          <w:hyperlink w:anchor="_Toc100051" w:history="1">
            <w:r>
              <w:rPr>
                <w:rStyle w:val="Hyperlink"/>
              </w:rPr>
              <w:t>В.3 Сравнение с пермутационным тестом</w:t>
            </w:r>
            <w:r>
              <w:tab/>
            </w:r>
            <w:r>
              <w:fldChar w:fldCharType="begin"/>
            </w:r>
            <w:r>
              <w:instrText xml:space="preserve"> PAGEREF _Toc100051 \h </w:instrText>
            </w:r>
            <w:r>
              <w:fldChar w:fldCharType="separate"/>
            </w:r>
            <w:r>
              <w:t>40</w:t>
            </w:r>
            <w:r>
              <w:fldChar w:fldCharType="end"/>
            </w:r>
          </w:hyperlink>
        </w:p>
        <w:p>
          <w:pPr>
            <w:pStyle w:val="9"/>
            <w:tabs>
              <w:tab w:val="right" w:leader="dot" w:pos="9026"/>
            </w:tabs>
            <w:spacing w:before="120" w:after="60"/>
          </w:pPr>
          <w:hyperlink w:anchor="_Toc100052" w:history="1">
            <w:r>
              <w:rPr>
                <w:rStyle w:val="Hyperlink"/>
              </w:rPr>
              <w:t>СПИСОК ЛИТЕРАТУРЫ</w:t>
            </w:r>
            <w:r>
              <w:tab/>
            </w:r>
            <w:r>
              <w:fldChar w:fldCharType="begin"/>
            </w:r>
            <w:r>
              <w:instrText xml:space="preserve"> PAGEREF _Toc100052 \h </w:instrText>
            </w:r>
            <w:r>
              <w:fldChar w:fldCharType="separate"/>
            </w:r>
            <w:r>
              <w:t>40</w:t>
            </w:r>
            <w:r>
              <w:fldChar w:fldCharType="end"/>
            </w:r>
          </w:hyperlink>
        </w:p>
        <w:p>
          <w:r>
            <w:fldChar w:fldCharType="end"/>
          </w:r>
        </w:p>
      </w:sdtContent>
    </w:sdt>
    <w:p>
      <w:pPr>
        <w:sectPr>
          <w:pgSz w:w="11906" w:h="16838" w:orient="portrait"/>
          <w:pgMar w:top="1440" w:right="1440" w:bottom="1440" w:left="1440" w:header="708" w:footer="708" w:gutter="0"/>
          <w:pgNumType/>
          <w:docGrid w:linePitch="360"/>
        </w:sectPr>
      </w:pP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00" w:name="_Toc100000"/>
      <w:r>
        <w:rPr>
          <w:rFonts w:ascii="Times New Roman" w:cs="Times New Roman" w:eastAsia="Times New Roman" w:hAnsi="Times New Roman"/>
          <w:color w:val="1A1A1A"/>
          <w:sz w:val="32"/>
          <w:szCs w:val="32"/>
        </w:rPr>
        <w:t xml:space="preserve">ГЛАВА 1. ВВЕДЕНИЕ</w:t>
      </w:r>
      <w:bookmarkEnd w:id="100000"/>
    </w:p>
    <w:p>
      <w:pPr>
        <w:pStyle w:val="Heading2"/>
        <w:shd w:fill="FBF6E8" w:val="clear"/>
        <w:spacing w:after="240" w:before="360" w:line="360"/>
      </w:pPr>
      <w:bookmarkStart w:id="100001" w:name="_Toc100001"/>
      <w:r>
        <w:rPr>
          <w:rFonts w:ascii="Times New Roman" w:cs="Times New Roman" w:eastAsia="Times New Roman" w:hAnsi="Times New Roman"/>
          <w:color w:val="1A1A1A"/>
          <w:sz w:val="30"/>
          <w:szCs w:val="30"/>
        </w:rPr>
        <w:t xml:space="preserve">1.1 Актуальность исследования</w:t>
      </w:r>
      <w:bookmarkEnd w:id="100001"/>
    </w:p>
    <w:p>
      <w:pPr>
        <w:shd w:fill="FBF6E8" w:val="clear"/>
        <w:spacing w:after="120" w:line="312"/>
        <w:ind w:firstLine="480"/>
        <w:jc w:val="both"/>
      </w:pPr>
      <w:r>
        <w:rPr>
          <w:rFonts w:ascii="Times New Roman" w:cs="Times New Roman" w:eastAsia="Times New Roman" w:hAnsi="Times New Roman"/>
          <w:color w:val="1A1A1A"/>
          <w:sz w:val="24"/>
          <w:szCs w:val="24"/>
        </w:rPr>
        <w:t xml:space="preserve">Быстрое развитие больших языковых моделей (БЯМ), таких как GPT-4, LLaMA, Claude и их производных, привело к революции в области обработки естественного языка. Эти модели демонстрируют замечательные способности к генерации связного текста, переводу, резюмированию и решению логических задач. Однако наряду с несомненными достижениями возникает фундаментальная проблема: БЯМ склонны к генерации фактически неверного контента, так называемых «галлюцинаций», которые могут быть внешне правдоподобными, но не соответствовать реальности. Данная проблема приобретает особую остроту в критических приложениях — медицинской диагностике, юридическом консультировании, финансовом анализе, — где ошибки генерации могут иметь серьёзные последствия.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Существующие методы обнаружения галлюцинаций, основанные на анализе выходного текста, вероятностных метриках или внешней верификации, обладают рядом ограничений. Они, как правило, работают постфактум, требуют дополнительных вычислительных ресурсов и не всегда способны выявить тонкие формы фактических ошибок. В связи с этим возникает потребность в принципиально новом подходе, который позволил бы анализировать внутренние репрезентации модели в процессе генерации и выявлять спектральные признаки, отличающие фактическую генерацию от творческой.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Случайная матричная теория (СМТ), изначально разработанная для описания спектров тяжёлых атомных ядер Юджином Вигнером в 1950-х годах, представляет собой мощный математический аппарат для анализа статистических свойств спектров больших матриц. За последние десятилетия СМТ нашла применения в разнообразных областях — от квантовой хаотики и теории чисел до финансовой математики и нейронауки. Закон Марченко—Пастура, фазовый переход BBP и распределение Трейси—Видома предоставляют универсальные предсказания, не зависящие от деталей конкретной системы, что делает СМТ идеальным инструментом для анализа активаций нейронных сетей.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Настоящее исследование находится на пересечении двух активно развивающихся направлений: теории случайных матриц и интерпретируемости больших языковых моделей. Применение методов СМТ к анализу активаций БЯМ открывает принципиально новые возможности для понимания внутренних механизмов генерации и создания надёжных инструментов контроля качества выходного текста.</w:t>
      </w:r>
    </w:p>
    <w:p>
      <w:pPr>
        <w:pStyle w:val="Heading2"/>
        <w:shd w:fill="FBF6E8" w:val="clear"/>
        <w:spacing w:after="240" w:before="360" w:line="360"/>
      </w:pPr>
      <w:bookmarkStart w:id="100002" w:name="_Toc100002"/>
      <w:r>
        <w:rPr>
          <w:rFonts w:ascii="Times New Roman" w:cs="Times New Roman" w:eastAsia="Times New Roman" w:hAnsi="Times New Roman"/>
          <w:color w:val="1A1A1A"/>
          <w:sz w:val="30"/>
          <w:szCs w:val="30"/>
        </w:rPr>
        <w:t xml:space="preserve">1.2 Постановка проблемы</w:t>
      </w:r>
      <w:bookmarkEnd w:id="100002"/>
    </w:p>
    <w:p>
      <w:pPr>
        <w:shd w:fill="FBF6E8" w:val="clear"/>
        <w:spacing w:after="120" w:line="312"/>
        <w:ind w:firstLine="480"/>
        <w:jc w:val="both"/>
      </w:pPr>
      <w:r>
        <w:rPr>
          <w:rFonts w:ascii="Times New Roman" w:cs="Times New Roman" w:eastAsia="Times New Roman" w:hAnsi="Times New Roman"/>
          <w:color w:val="1A1A1A"/>
          <w:sz w:val="24"/>
          <w:szCs w:val="24"/>
        </w:rPr>
        <w:t xml:space="preserve">Центральная проблема, решаемая в данной работе, может быть сформулирована следующим образом: существует ли качественное и количественное различие в спектральных свойствах ковариационных матриц активаций БЯМ, которое позволяет надёжно различать режимы фактической (достоверной) и творческой (потentially недостоверной) генерации? При этом под «фактической генерацией» понимается генерация текста, основанная на retrieval-подобных механизмах извлечения знаний из весов модели, тогда как под «творческой генерацией» — генерация, опирающаяся на интерполяцию и комбинаторное переупорядочение усвоенных паттернов.</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Гипотеза исследования состоит в том, что ковариационные матрицы активаций в режиме фактической генерации содержат доминирующие собственные значения, выходящие за пределы предсказаний закона Марченко—Пастура для случайных матриц, что свидетельствует о наличии информативного сигнала. Напротив, в режиме творческой генерации спектр более близок к случайному, что указывает на делокализацию информации по множеству собственных векторов. Данная гипотеза естественно формулируется в терминах фазового перехода BBP и распределения Трейси—Видома.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проверки данной гипотезы необходимо решить ряд взаимосвязанных задач: разработать методику извлечения и предварительной обработки активаций из различных слоёв БЯМ, сформировать ковариационные матрицы и провести их спектральный анализ с использованием аппарата СМТ, а также построить количественные метрики, позволяющие надёжно различать два режима генерации.</w:t>
      </w:r>
    </w:p>
    <w:p>
      <w:pPr>
        <w:pStyle w:val="Heading2"/>
        <w:shd w:fill="FBF6E8" w:val="clear"/>
        <w:spacing w:after="240" w:before="360" w:line="360"/>
      </w:pPr>
      <w:bookmarkStart w:id="100003" w:name="_Toc100003"/>
      <w:r>
        <w:rPr>
          <w:rFonts w:ascii="Times New Roman" w:cs="Times New Roman" w:eastAsia="Times New Roman" w:hAnsi="Times New Roman"/>
          <w:color w:val="1A1A1A"/>
          <w:sz w:val="30"/>
          <w:szCs w:val="30"/>
        </w:rPr>
        <w:t xml:space="preserve">1.3 Цели и задачи исследования</w:t>
      </w:r>
      <w:bookmarkEnd w:id="100003"/>
    </w:p>
    <w:p>
      <w:pPr>
        <w:shd w:fill="FBF6E8" w:val="clear"/>
        <w:spacing w:after="120" w:line="312"/>
        <w:ind w:firstLine="480"/>
        <w:jc w:val="both"/>
      </w:pPr>
      <w:r>
        <w:rPr>
          <w:rFonts w:ascii="Times New Roman" w:cs="Times New Roman" w:eastAsia="Times New Roman" w:hAnsi="Times New Roman"/>
          <w:color w:val="1A1A1A"/>
          <w:sz w:val="24"/>
          <w:szCs w:val="24"/>
        </w:rPr>
        <w:t xml:space="preserve">Целью настоящей работы является разработка и экспериментальная верификация методологии спектрального анализа активаций БЯМ на основе случайной матричной теории для различения режимов фактической и творческой генерации текста.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достижения поставленной цели сформулированы следующие задачи: (1) адаптировать ключевые результаты СМТ — закон Марченко—Пастура, фазовый переход BBP, распределение Трейси—Видома, коэффициент обратного участия — к анализу ковариационных матриц активаций нейронных сетей; (2) разработать вычислительную процедуру извлечения активаций из промежуточных слоёв трансформера и формирования ковариационных матриц; (3) построить спектральные метрики, количественно характеризующие степень «фактичности» или «творческости» генерации; (4) разработать термодинамическую аналогию, интерпретирующую режимы генерации как фазы вещества; (5) провести экспериментальную проверку методологии на модели GPT-2 при варьировании температуры генерации, номера слоя и длины промпта.</w:t>
      </w:r>
    </w:p>
    <w:p>
      <w:pPr>
        <w:pStyle w:val="Heading2"/>
        <w:shd w:fill="FBF6E8" w:val="clear"/>
        <w:spacing w:after="240" w:before="360" w:line="360"/>
      </w:pPr>
      <w:bookmarkStart w:id="100004" w:name="_Toc100004"/>
      <w:r>
        <w:rPr>
          <w:rFonts w:ascii="Times New Roman" w:cs="Times New Roman" w:eastAsia="Times New Roman" w:hAnsi="Times New Roman"/>
          <w:color w:val="1A1A1A"/>
          <w:sz w:val="30"/>
          <w:szCs w:val="30"/>
        </w:rPr>
        <w:t xml:space="preserve">1.4 Научная новизна</w:t>
      </w:r>
      <w:bookmarkEnd w:id="100004"/>
    </w:p>
    <w:p>
      <w:pPr>
        <w:shd w:fill="FBF6E8" w:val="clear"/>
        <w:spacing w:after="120" w:line="312"/>
        <w:ind w:firstLine="480"/>
        <w:jc w:val="both"/>
      </w:pPr>
      <w:r>
        <w:rPr>
          <w:rFonts w:ascii="Times New Roman" w:cs="Times New Roman" w:eastAsia="Times New Roman" w:hAnsi="Times New Roman"/>
          <w:color w:val="1A1A1A"/>
          <w:sz w:val="24"/>
          <w:szCs w:val="24"/>
        </w:rPr>
        <w:t xml:space="preserve">Научная новизна работы заключается в следующем. Впервые предложена комплексная методология применения случайной матричной теории к анализу активаций больших языковых моделей для различения режимов генерации. Введена термодинамическая аналогия, в которой свободная энергия F = U − T·S_spec определяет стабильные фазы генерации, а ренормализационная группа по слоям трансформера описывает поток между фазами. Разработаны количественные метрики — спектральное SNR, нормализованная спектральная энтропия, IPR и отношение интервалов — позволяющие с высокой статистической значимостью различать фактическую и творческую генерацию.</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Ключевой результат: спектральные свойства ковариационных матриц активаций БЯМ демонстрируют универсальные закономерности, описываемые СМТ, что открывает принципиально новые возможности для интерпретируемости и контроля генерации.</w:t>
      </w:r>
    </w:p>
    <w:p>
      <w:pPr>
        <w:pStyle w:val="Heading2"/>
        <w:shd w:fill="FBF6E8" w:val="clear"/>
        <w:spacing w:after="240" w:before="360" w:line="360"/>
      </w:pPr>
      <w:bookmarkStart w:id="100005" w:name="_Toc100005"/>
      <w:r>
        <w:rPr>
          <w:rFonts w:ascii="Times New Roman" w:cs="Times New Roman" w:eastAsia="Times New Roman" w:hAnsi="Times New Roman"/>
          <w:color w:val="1A1A1A"/>
          <w:sz w:val="30"/>
          <w:szCs w:val="30"/>
        </w:rPr>
        <w:t xml:space="preserve">1.5 Структура работы</w:t>
      </w:r>
      <w:bookmarkEnd w:id="100005"/>
    </w:p>
    <w:p>
      <w:pPr>
        <w:shd w:fill="FBF6E8" w:val="clear"/>
        <w:spacing w:after="120" w:line="312"/>
        <w:ind w:firstLine="480"/>
        <w:jc w:val="both"/>
      </w:pPr>
      <w:r>
        <w:rPr>
          <w:rFonts w:ascii="Times New Roman" w:cs="Times New Roman" w:eastAsia="Times New Roman" w:hAnsi="Times New Roman"/>
          <w:color w:val="1A1A1A"/>
          <w:sz w:val="24"/>
          <w:szCs w:val="24"/>
        </w:rPr>
        <w:t xml:space="preserve">Работа состоит из введения, восьми глав, трёх приложений и списка литературы. В главе 2 излагаются теоретические основы случайной матричной теории, включая закон Марченко—Пастура, фазовый переход BBP, распределение Трейси—Видома и коэффициент обратного участия. В главе 3 описывается архитектура трансформера и процедура извлечения активаций из модели GPT-2. В главе 4 представлена методология спектрального анализа ковариационных матриц активаций. В главе 5 развивается термодинамическая аналогия и модель свободной энергии. В главе 6 приведены экспериментальные результаты. В главе 7 обсуждаются полученные результаты и ограничения метода. В главе 8 сформулированы основные выводы и перспективы дальнейших исследований.</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06" w:name="_Toc100006"/>
      <w:r>
        <w:rPr>
          <w:rFonts w:ascii="Times New Roman" w:cs="Times New Roman" w:eastAsia="Times New Roman" w:hAnsi="Times New Roman"/>
          <w:color w:val="1A1A1A"/>
          <w:sz w:val="32"/>
          <w:szCs w:val="32"/>
        </w:rPr>
        <w:t xml:space="preserve">ГЛАВА 2. ТЕОРЕТИЧЕСКИЕ ОСНОВЫ СЛУЧАЙНОЙ МАТРИЧНОЙ ТЕОРИИ</w:t>
      </w:r>
      <w:bookmarkEnd w:id="100006"/>
    </w:p>
    <w:p>
      <w:pPr>
        <w:pStyle w:val="Heading2"/>
        <w:shd w:fill="FBF6E8" w:val="clear"/>
        <w:spacing w:after="240" w:before="360" w:line="360"/>
      </w:pPr>
      <w:bookmarkStart w:id="100007" w:name="_Toc100007"/>
      <w:r>
        <w:rPr>
          <w:rFonts w:ascii="Times New Roman" w:cs="Times New Roman" w:eastAsia="Times New Roman" w:hAnsi="Times New Roman"/>
          <w:color w:val="1A1A1A"/>
          <w:sz w:val="30"/>
          <w:szCs w:val="30"/>
        </w:rPr>
        <w:t xml:space="preserve">2.1 Исторический обзор и основные концепции</w:t>
      </w:r>
      <w:bookmarkEnd w:id="100007"/>
    </w:p>
    <w:p>
      <w:pPr>
        <w:shd w:fill="FBF6E8" w:val="clear"/>
        <w:spacing w:after="120" w:line="312"/>
        <w:ind w:firstLine="480"/>
        <w:jc w:val="both"/>
      </w:pPr>
      <w:r>
        <w:rPr>
          <w:rFonts w:ascii="Times New Roman" w:cs="Times New Roman" w:eastAsia="Times New Roman" w:hAnsi="Times New Roman"/>
          <w:color w:val="1A1A1A"/>
          <w:sz w:val="24"/>
          <w:szCs w:val="24"/>
        </w:rPr>
        <w:t xml:space="preserve">Случайная матричная теория (СМТ) берёт своё начало из работ Юджина Вигнера, который в 1955 году предложил использовать ансамбли случайных матриц для описания спектральных свойств тяжёлых атомных ядер. Вигнер показал, что распределение расстояний между соседними уровнями энергии в сложных ядрах хорошо описывается статистикой гауссовых ансамблей, а не независимыми случайными величинами. Это наблюдение стало отправной точкой для развития целого направления математической физики, связанного с универсальными спектральными свойствами больших матриц.</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1967 году Марченко и Пастур получили асимптотическое распределение собственных значений выборочных ковариационных матриц больших размерностей, известное как закон Марченко—Пастура. Этот результат стал одним из краеугольных камней СМТ, поскольку он описывает предельное спектральное распределение для широкого класса случайных матриц и находит применения в многомерной статистике, обработке сигналов и анализе финансовых данных. Закон Марченко—Пастура определяет границы «случайного» спектра: собственные значения, выходящие за эти границы, свидетельствуют о наличии детерминированного сигнала в данных.</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Фазовый переход Байо—Бен Аруна—Пеше (BBP), открытый в 2005 году, описывает качественное изменение спектральных свойств ковариационных матриц при появлении выделенного сигнала. Когда интенсивность сигнала превышает критический порог, наибольшее собственное значение отделяется от «случайного» спектра и выходит за пределы, предсказываемые законом Марченко—Пастура. Этот переход аналогичен фазовому переходу в статистической физике и описывается универсальными законами, не зависящими от деталей распределения матричных элементов.</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Распределение Трейси—Видома, полученное в 1994 году, описывает флуктуации наибольшего собственного значения случайных матриц в пределе большой размерности. Это распределение играет роль, аналогичную гауссову распределению в центральной предельной теореме, но для экстремальных собственных значений. Универсальность распределения Трейси—Видома была подтверждена в самых разнообразных системах — от модели Изинга до задач комбинаторной оптимизации, что делает его мощным инструментом статистического анализа.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нейронаук и машинного обучения СМТ начала применяться сравнительно недавно. Работы Стрингера с соавторами (2019) и Линя с соавторами (2024) показали, что спектральные свойства нейронных активаций демонстрируют универсальные закономерности, описываемые СМТ. Настоящая работа развивает это направление, применяя методы СМТ к анализу активаций больших языковых моделей с целью различения режимов генерации.</w:t>
      </w:r>
    </w:p>
    <w:p>
      <w:pPr>
        <w:pStyle w:val="Heading2"/>
        <w:shd w:fill="FBF6E8" w:val="clear"/>
        <w:spacing w:after="240" w:before="360" w:line="360"/>
      </w:pPr>
      <w:bookmarkStart w:id="100008" w:name="_Toc100008"/>
      <w:r>
        <w:rPr>
          <w:rFonts w:ascii="Times New Roman" w:cs="Times New Roman" w:eastAsia="Times New Roman" w:hAnsi="Times New Roman"/>
          <w:color w:val="1A1A1A"/>
          <w:sz w:val="30"/>
          <w:szCs w:val="30"/>
        </w:rPr>
        <w:t xml:space="preserve">2.2 Закон Марченко—Пастура</w:t>
      </w:r>
      <w:bookmarkEnd w:id="100008"/>
    </w:p>
    <w:p>
      <w:pPr>
        <w:shd w:fill="FBF6E8" w:val="clear"/>
        <w:spacing w:after="120" w:line="312"/>
        <w:ind w:firstLine="480"/>
        <w:jc w:val="both"/>
      </w:pPr>
      <w:r>
        <w:rPr>
          <w:rFonts w:ascii="Times New Roman" w:cs="Times New Roman" w:eastAsia="Times New Roman" w:hAnsi="Times New Roman"/>
          <w:color w:val="1A1A1A"/>
          <w:sz w:val="24"/>
          <w:szCs w:val="24"/>
        </w:rPr>
        <w:t xml:space="preserve">Закон Марченко—Пастура описывает асимптотическое распределение собственных значений выборочной ковариационной матрицы S = (1/N)XX^T, где X — матрица размера p×N, элементы которой являются независимыми случайными величинами с нулевым средним и единичной дисперсией. При N, p → ∞ и фиксированном отношении q = p/N предельная спектральная плотность ρ(λ) имеет компактный носитель [λ₋, λ₊] и задаётся выражением:</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ρ(λ) = (q / 2π) · √((λ₊ − λ)(λ − λ₋)) / λ</w:t>
      </w:r>
      <w:r>
        <w:rPr>
          <w:rFonts w:ascii="Times New Roman" w:cs="Times New Roman" w:eastAsia="Times New Roman" w:hAnsi="Times New Roman"/>
          <w:color w:val="8B7E5A"/>
          <w:sz w:val="22"/>
          <w:szCs w:val="22"/>
        </w:rPr>
        <w:t xml:space="preserve">    (2.1)</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где границы спектра определяются как λ₊ = (1 + √q)² и λ₋ = (1 − √q)². При q &lt; 1 распределение имеет особенность типа обратного квадратного корня на правом краю, а при q &gt; 1 появляется дельта-вклад при λ = 0, соответствующий нулевым собственным значениям. Закон Марченко—Пастура задаёт «базовую линию» случайного спектра: собственные значения, попадающие в интервал [λ₋, λ₊], совместимы с гипотезой случайности, тогда как значения за пределами этого интервала указывают на наличие детерминированного сигнала.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анализа активаций БЯМ закон Марченко—Пастура играет роль нулевой гипотезы: если ковариационная матрица активаций порождена случайным процессом без выделенных корреляций, её спектр должен следовать предсказаниям закона. Отклонения от закона, в первую очередь появление собственных значений правее λ₊, свидетельствуют о наличии информативной структуры в активациях. На рисунке 2.1 показано сравнение наблюдаемой плотности собственных значений с теоретическим предсказанием закона Марченко—Пастура для различных режимов генерации.</w:t>
      </w:r>
    </w:p>
    <w:p>
      <w:pPr>
        <w:shd w:fill="FBF6E8" w:val="clear"/>
        <w:spacing w:after="100" w:before="200"/>
        <w:jc w:val="center"/>
      </w:pPr>
      <w:r>
        <w:drawing>
          <wp:inline distT="0" distB="0" distL="0" distR="0">
            <wp:extent cx="4572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5752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2.1. Закон Марченко—Пастура: теоретическая плотность и наблюдаемый спектр</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Как видно из рисунка 2.1, в режиме фактической генерации (низкая температура) наблюдается значительное отклонение наибольшего собственного значения от предсказания закона Марченко—Пастура, что указывает на наличие выделенного сигнала. Напротив, в режиме творческой генерации (высокая температура) спектр более близок к теоретическому предсказанию, что свидетельствует о делокализации информативной структуры. Это наблюдение является отправной точкой для всего дальнейшего анализа.</w:t>
      </w:r>
    </w:p>
    <w:p>
      <w:pPr>
        <w:pStyle w:val="Heading2"/>
        <w:shd w:fill="FBF6E8" w:val="clear"/>
        <w:spacing w:after="240" w:before="360" w:line="360"/>
      </w:pPr>
      <w:bookmarkStart w:id="100009" w:name="_Toc100009"/>
      <w:r>
        <w:rPr>
          <w:rFonts w:ascii="Times New Roman" w:cs="Times New Roman" w:eastAsia="Times New Roman" w:hAnsi="Times New Roman"/>
          <w:color w:val="1A1A1A"/>
          <w:sz w:val="30"/>
          <w:szCs w:val="30"/>
        </w:rPr>
        <w:t xml:space="preserve">2.3 Фазовый переход Байо—Бен Аруна—Пеше (BBP)</w:t>
      </w:r>
      <w:bookmarkEnd w:id="100009"/>
    </w:p>
    <w:p>
      <w:pPr>
        <w:shd w:fill="FBF6E8" w:val="clear"/>
        <w:spacing w:after="120" w:line="312"/>
        <w:ind w:firstLine="480"/>
        <w:jc w:val="both"/>
      </w:pPr>
      <w:r>
        <w:rPr>
          <w:rFonts w:ascii="Times New Roman" w:cs="Times New Roman" w:eastAsia="Times New Roman" w:hAnsi="Times New Roman"/>
          <w:color w:val="1A1A1A"/>
          <w:sz w:val="24"/>
          <w:szCs w:val="24"/>
        </w:rPr>
        <w:t xml:space="preserve">Фазовый переход BBP описывает качественную перестройку спектра ковариационной матрицы при появлении выделенного сигнала. Рассмотрим модель S = (1/N)XX^T + θ·vv^T, где v — единичный вектор, а θ — интенсивность сигнала. При малых θ наибольшее собственное значение следует за краем спектра Марченко—Пастура и его флуктуации описываются распределением Трейси—Видома. Однако при превышении критического порога θ_c = √q наибольшее собственное значение отделяется от «пула» и начинает расти линейно с θ:</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λ_max(θ) = θ · (1 + q / θ²)  при θ &gt; √q</w:t>
      </w:r>
      <w:r>
        <w:rPr>
          <w:rFonts w:ascii="Times New Roman" w:cs="Times New Roman" w:eastAsia="Times New Roman" w:hAnsi="Times New Roman"/>
          <w:color w:val="8B7E5A"/>
          <w:sz w:val="22"/>
          <w:szCs w:val="22"/>
        </w:rPr>
        <w:t xml:space="preserve">    (2.2)</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Фазовый переход BBP является непрерывным: собственное значение плавно выходит из спектрального «пула», однако характер его флуктуаций резко меняется. При θ &lt; √q флуктуации λ_max описываются распределением Трейси—Видома (типичный масштаб N^(-2/3)), тогда как при θ &gt; √q они становятся гауссовыми с дисперсией порядка 1/N. Это изменение масштаба флуктуаций является надёжным индикатором фазового перехода.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активаций БЯМ фазовый переход BBP интерпретируется следующим образом: режим фактической генерации соответствует фазе с выделенным собственным значением (θ &gt; √q), а режим творческой генерации — фазе без выделенного значения (θ &lt; √q). Температура генерации играет роль управляющего параметра, аналогичного интенсивности сигнала θ в модели BBP. На рисунке 2.2 показано поведение наибольшего собственного значения при изменении температуры генерации.</w:t>
      </w:r>
    </w:p>
    <w:p>
      <w:pPr>
        <w:shd w:fill="FBF6E8" w:val="clear"/>
        <w:spacing w:after="100" w:before="200"/>
        <w:jc w:val="center"/>
      </w:pPr>
      <w:r>
        <w:drawing>
          <wp:inline distT="0" distB="0" distL="0" distR="0">
            <wp:extent cx="4572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9562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2.2. Фазовый переход BBP: поведение наибольшего собственного значения при изменении температуры</w:t>
      </w:r>
    </w:p>
    <w:p>
      <w:pPr>
        <w:pStyle w:val="Heading2"/>
        <w:shd w:fill="FBF6E8" w:val="clear"/>
        <w:spacing w:after="240" w:before="360" w:line="360"/>
      </w:pPr>
      <w:bookmarkStart w:id="100010" w:name="_Toc100010"/>
      <w:r>
        <w:rPr>
          <w:rFonts w:ascii="Times New Roman" w:cs="Times New Roman" w:eastAsia="Times New Roman" w:hAnsi="Times New Roman"/>
          <w:color w:val="1A1A1A"/>
          <w:sz w:val="30"/>
          <w:szCs w:val="30"/>
        </w:rPr>
        <w:t xml:space="preserve">2.4 Распределение Трейси—Видома</w:t>
      </w:r>
      <w:bookmarkEnd w:id="100010"/>
    </w:p>
    <w:p>
      <w:pPr>
        <w:shd w:fill="FBF6E8" w:val="clear"/>
        <w:spacing w:after="120" w:line="312"/>
        <w:ind w:firstLine="480"/>
        <w:jc w:val="both"/>
      </w:pPr>
      <w:r>
        <w:rPr>
          <w:rFonts w:ascii="Times New Roman" w:cs="Times New Roman" w:eastAsia="Times New Roman" w:hAnsi="Times New Roman"/>
          <w:color w:val="1A1A1A"/>
          <w:sz w:val="24"/>
          <w:szCs w:val="24"/>
        </w:rPr>
        <w:t xml:space="preserve">Распределение Трейси—Видома описывает предельные флуктуации наибольшего собственного значения случайной матрицы из гауссова унитарного ансамбля (GUE) при N → ∞. Точнее, для нормированного наибольшего собственного значения ξ = N^(2/3)(λ_max − 2) выполняется:</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P(λ_max &lt; s) → F_β(s)  при N → ∞</w:t>
      </w:r>
      <w:r>
        <w:rPr>
          <w:rFonts w:ascii="Times New Roman" w:cs="Times New Roman" w:eastAsia="Times New Roman" w:hAnsi="Times New Roman"/>
          <w:color w:val="8B7E5A"/>
          <w:sz w:val="22"/>
          <w:szCs w:val="22"/>
        </w:rPr>
        <w:t xml:space="preserve">    (2.3)</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где F_β(s) — функция распределения Трейси—Видома, β = 1, 2, 4 соответствует ортогональному, унитарному и симплектическому ансамблям соответственно. Наиболее часто используется β = 2 (GUE), для которого функция F₂(s) выражается через решение уравнения Пенлеве II. Асимптотики распределения Трейси—Видома имеют вид: F₂(s) ~ exp(−2s^(3/2)/3) при s → +∞ (суперэкспоненциальное затухание) и F₂(s) ~ exp(−|s|³/12) при s → −∞ (медленный рост). Асимметрия распределения отражает то обстоятельство, что наибольшее собственное значение имеет жёсткую верхнюю границу, но допускает значительные отклонения вниз.</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практических приложений распределение Трейси—Видома позволяет построить статистический тест на наличие выделенного сигнала в ковариационной матрице. Если нормированное наибольшее собственное значение превышает критическое значение, соответствующее заданному уровню значимости, гипотеза об отсутствии сигнала отвергается. Данный подход особенно эффективен в ситуациях, когда размерность мала или средняя, и асимптотика Марченко—Пастура ещё не является точной. На рисунке 2.3 показано сравнение наблюдаемых флуктуаций наибольшего собственного значения с распределением Трейси—Видома.</w:t>
      </w:r>
    </w:p>
    <w:p>
      <w:pPr>
        <w:shd w:fill="FBF6E8" w:val="clear"/>
        <w:spacing w:after="10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2.3. Распределение Трейси—Видома: теоретическая кривая и наблюдаемые флуктуации</w:t>
      </w:r>
    </w:p>
    <w:p>
      <w:pPr>
        <w:pStyle w:val="Heading2"/>
        <w:shd w:fill="FBF6E8" w:val="clear"/>
        <w:spacing w:after="240" w:before="360" w:line="360"/>
      </w:pPr>
      <w:bookmarkStart w:id="100011" w:name="_Toc100011"/>
      <w:r>
        <w:rPr>
          <w:rFonts w:ascii="Times New Roman" w:cs="Times New Roman" w:eastAsia="Times New Roman" w:hAnsi="Times New Roman"/>
          <w:color w:val="1A1A1A"/>
          <w:sz w:val="30"/>
          <w:szCs w:val="30"/>
        </w:rPr>
        <w:t xml:space="preserve">2.5 Спектральный форм-фактор и отношение интервалов</w:t>
      </w:r>
      <w:bookmarkEnd w:id="100011"/>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Спектральный форм-фактор (СФФ) является мощным инструментом анализа корреляций между собственными значениями. Для матрицы с собственными значениями {λ_i} СФФ определяется как K(τ) = (1/N)⟨|Σᵢ exp(iτλᵢ)|²⟩, где угловые скобки обозначают усреднение по ансамблю. В пределе большой размерности СФФ демонстрирует универсальное поведение: при малых τ (τ &lt; 1) он описывается линейным ростом («rampe»), при τ = 1 достигает плато («plateau»), а при τ &gt; 1 выходит на константу, определяемую средней плотностью состояний. Переходная область τ ≈ 1 содержит информацию о универсальных корреляциях между собственными значениями и позволяет различать интегрируемые и хаотические системы.</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Отношение интервалов (spacing ratio) rᵢ = min(sᵢ, sᵢ₊₁)/max(sᵢ, sᵢ₊₁), где sᵢ = λᵢ₊₁ − λᵢ — расстояние между соседними собственными значениями, является удобной метрикой для классификации спектральной статистики без необходимости разворачивания (unfolding) спектра. Для гауссова ортогонального ансамбля (GOE) распределение отношений интервалов хорошо аппроксимируется выражением P(r) = (27/4)(r + r²)/(1 + r + r²)^(5/2), тогда как для пуассоновской статистики (интегрируемые системы) P(r) = 1/(1 + r)². Среднее значение ⟨r⟩ составляет приблизительно 0.536 для GOE и 0.386 для пуассоновской статистики.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анализа активаций БЯМ отношение интервалов позволяет определить, подчиняется ли спектр ковариационной матрицы статистике случайного ансамбля (что свидетельствует о делокализованном, «творческом» режиме) или отклоняется от неё (что указывает на наличие информативной структуры, характерной для «фактического» режима). На рисунке 2.4 показан спектральный форм-фактор для различных режимов генерации.</w:t>
      </w:r>
    </w:p>
    <w:p>
      <w:pPr>
        <w:shd w:fill="FBF6E8" w:val="clear"/>
        <w:spacing w:after="100" w:before="20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9085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2.4. Спектральный форм-фактор для различных режимов генерации</w:t>
      </w:r>
    </w:p>
    <w:p>
      <w:pPr>
        <w:pStyle w:val="Heading2"/>
        <w:shd w:fill="FBF6E8" w:val="clear"/>
        <w:spacing w:after="240" w:before="360" w:line="360"/>
      </w:pPr>
      <w:bookmarkStart w:id="100012" w:name="_Toc100012"/>
      <w:r>
        <w:rPr>
          <w:rFonts w:ascii="Times New Roman" w:cs="Times New Roman" w:eastAsia="Times New Roman" w:hAnsi="Times New Roman"/>
          <w:color w:val="1A1A1A"/>
          <w:sz w:val="30"/>
          <w:szCs w:val="30"/>
        </w:rPr>
        <w:t xml:space="preserve">2.6 Коэффициент обратного участия (IPR)</w:t>
      </w:r>
      <w:bookmarkEnd w:id="100012"/>
    </w:p>
    <w:p>
      <w:pPr>
        <w:shd w:fill="FBF6E8" w:val="clear"/>
        <w:spacing w:after="120" w:line="312"/>
        <w:ind w:firstLine="480"/>
        <w:jc w:val="both"/>
      </w:pPr>
      <w:r>
        <w:rPr>
          <w:rFonts w:ascii="Times New Roman" w:cs="Times New Roman" w:eastAsia="Times New Roman" w:hAnsi="Times New Roman"/>
          <w:color w:val="1A1A1A"/>
          <w:sz w:val="24"/>
          <w:szCs w:val="24"/>
        </w:rPr>
        <w:t xml:space="preserve">Коэффициент обратного участия (Inverse Participation Ratio, IPR) является мерой локализации собственных векторов. Для k-го собственного вектора v⁽ᵏ⁾ = (v₁⁽ᵏ⁾, ..., v_p⁽ᵏ⁾) IPR определяется как:</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Ψ_k = Σᵢ |vᵢ⁽ᵏ⁾|⁴</w:t>
      </w:r>
      <w:r>
        <w:rPr>
          <w:rFonts w:ascii="Times New Roman" w:cs="Times New Roman" w:eastAsia="Times New Roman" w:hAnsi="Times New Roman"/>
          <w:color w:val="8B7E5A"/>
          <w:sz w:val="22"/>
          <w:szCs w:val="22"/>
        </w:rPr>
        <w:t xml:space="preserve">    (2.4)</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полностью делокализованного вектора, все компоненты которого одинаковы (|vᵢ|² = 1/p), IPR принимает минимальное значение Ψ = 1/p. Для полностью локализованного вектора, имеющего лишь одну ненулевую компоненту, Ψ = 1. Таким образом, IPR изменяется в диапазоне [1/p, 1], причём большие значения соответствуют локализованным (информативным) собственным векторам, а малые — делокализованным (шумовым).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Эффективная размерность собственного вектора (или коэффициент участия, Participation Ratio) определяется как:</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dim_eff = 1 / Σᵢ ρᵢ²,  где ρᵢ = |vᵢ⁽ᵏ⁾|²</w:t>
      </w:r>
      <w:r>
        <w:rPr>
          <w:rFonts w:ascii="Times New Roman" w:cs="Times New Roman" w:eastAsia="Times New Roman" w:hAnsi="Times New Roman"/>
          <w:color w:val="8B7E5A"/>
          <w:sz w:val="22"/>
          <w:szCs w:val="22"/>
        </w:rPr>
        <w:t xml:space="preserve">    (2.5)</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Эта величина равна числу «существенных» компонент собственного вектора. Для делокализованного вектора dim_eff ≈ p, а для локализованного dim_eff ≈ 1. В контексте активаций БЯМ эффективная размерность наибольшего собственного вектора ковариационной матрицы характеризует число нейронов, вовлечённых в представление информативного сигнала. В режиме фактической генерации ожидается низкая размерность (сигнал концентрируется в небольшом числе нейронов), тогда как в режиме творческой генерации — высокая (информация распределена по многим нейронам).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Важно отметить, что анализ IPR по всем собственным векторам ковариационной матрицы позволяет построить полную картину локализации в спектральном пространстве. Типичный сценарий: несколько наибольших собственных векторов локализованы (высокий IPR), а остальные делокализованы (низкий IPR). Переход от локализованных к делокализованным собственным векторам происходит в узкой области спектра, что аналогично переходу Андерсона в теории неупорядоченных систем.</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13" w:name="_Toc100013"/>
      <w:r>
        <w:rPr>
          <w:rFonts w:ascii="Times New Roman" w:cs="Times New Roman" w:eastAsia="Times New Roman" w:hAnsi="Times New Roman"/>
          <w:color w:val="1A1A1A"/>
          <w:sz w:val="32"/>
          <w:szCs w:val="32"/>
        </w:rPr>
        <w:t xml:space="preserve">ГЛАВА 3. АРХИТЕКТУРА LLM И ИЗВЛЕЧЕНИЕ АКТИВАЦИЙ</w:t>
      </w:r>
      <w:bookmarkEnd w:id="100013"/>
    </w:p>
    <w:p>
      <w:pPr>
        <w:pStyle w:val="Heading2"/>
        <w:shd w:fill="FBF6E8" w:val="clear"/>
        <w:spacing w:after="240" w:before="360" w:line="360"/>
      </w:pPr>
      <w:bookmarkStart w:id="100014" w:name="_Toc100014"/>
      <w:r>
        <w:rPr>
          <w:rFonts w:ascii="Times New Roman" w:cs="Times New Roman" w:eastAsia="Times New Roman" w:hAnsi="Times New Roman"/>
          <w:color w:val="1A1A1A"/>
          <w:sz w:val="30"/>
          <w:szCs w:val="30"/>
        </w:rPr>
        <w:t xml:space="preserve">3.1 Архитектура трансформера и механизм внимания</w:t>
      </w:r>
      <w:bookmarkEnd w:id="100014"/>
    </w:p>
    <w:p>
      <w:pPr>
        <w:shd w:fill="FBF6E8" w:val="clear"/>
        <w:spacing w:after="120" w:line="312"/>
        <w:ind w:firstLine="480"/>
        <w:jc w:val="both"/>
      </w:pPr>
      <w:r>
        <w:rPr>
          <w:rFonts w:ascii="Times New Roman" w:cs="Times New Roman" w:eastAsia="Times New Roman" w:hAnsi="Times New Roman"/>
          <w:color w:val="1A1A1A"/>
          <w:sz w:val="24"/>
          <w:szCs w:val="24"/>
        </w:rPr>
        <w:t xml:space="preserve">Современные большие языковые модели основаны на архитектуре трансформера, предложенной Вашвани с соавторами в 2017 году. Ключевым элементом трансформера является механизм многоголового самовнимания (multi-head self-attention), который позволяет модели учитывать контекстуальные зависимости между всеми позициями входной последовательности. Для каждой головы внимания h вычисляются запрос Q_h, ключ K_h и значение V_h как линейные проекции входного представления X: Q_h = XW_h^Q, K_h = XW_h^K, V_h = XW_h^V. Выход головы внимания определяется как Attention(Q_h, K_h, V_h) = softmax(Q_h K_h^T / √d_k) V_h, где d_k — размерность ключа.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Помимо механизма внимания, каждый слой трансформера содержит позиционно-зависимую полносвязную сеть (feed-forward network, FFN), состоящую из двух линейных преобразований с промежуточной нелинейностью: FFN(x) = max(0, xW₁ + b₁)W₂ + b₂. В большинстве современных БЯМ в качестве нелинейности используется GELU или SiLU. FFN играет роль ассоциативной памяти: первый линейный слой проецирует входное представление в пространство повышенной размерности (обычно в 4 раза больше скрытой размерности), а второй — возвращает в исходное пространство. Недавние исследования показывают, что именно FFN хранит значительную часть фактических знаний модели.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Архитектура GPT-2, используемая в настоящем исследовании, состоит из 12 слоёв трансформера с 768-мерным скрытым представлением и 12 головами внимания (в конфигурации small). Общее количество параметров составляет 124 миллиона. Каждый слой обрабатывает входное представление последовательно: сначала через механизм самовнимания, затем через FFN, с остаточными связями и послойной нормализацией на каждом шаге. Выходной слой представляет собой линейную проекцию в пространство словаря размерностью 50257 токенов.</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Важно: архитектурные особенности GPT-2 (послойная нормализация, остаточные связи) оказывают существенное влияние на статистические свойства активаций и должны учитываться при спектральном анализе.</w:t>
      </w:r>
    </w:p>
    <w:p>
      <w:pPr>
        <w:pStyle w:val="Heading2"/>
        <w:shd w:fill="FBF6E8" w:val="clear"/>
        <w:spacing w:after="240" w:before="360" w:line="360"/>
      </w:pPr>
      <w:bookmarkStart w:id="100015" w:name="_Toc100015"/>
      <w:r>
        <w:rPr>
          <w:rFonts w:ascii="Times New Roman" w:cs="Times New Roman" w:eastAsia="Times New Roman" w:hAnsi="Times New Roman"/>
          <w:color w:val="1A1A1A"/>
          <w:sz w:val="30"/>
          <w:szCs w:val="30"/>
        </w:rPr>
        <w:t xml:space="preserve">3.2 Извлечение активаций из GPT-2</w:t>
      </w:r>
      <w:bookmarkEnd w:id="100015"/>
    </w:p>
    <w:p>
      <w:pPr>
        <w:shd w:fill="FBF6E8" w:val="clear"/>
        <w:spacing w:after="120" w:line="312"/>
        <w:ind w:firstLine="480"/>
        <w:jc w:val="both"/>
      </w:pPr>
      <w:r>
        <w:rPr>
          <w:rFonts w:ascii="Times New Roman" w:cs="Times New Roman" w:eastAsia="Times New Roman" w:hAnsi="Times New Roman"/>
          <w:color w:val="1A1A1A"/>
          <w:sz w:val="24"/>
          <w:szCs w:val="24"/>
        </w:rPr>
        <w:t xml:space="preserve">Извлечение активаций из промежуточных слоёв GPT-2 осуществляется путём регистрации выходов каждого слоя трансформера при прямом проходе (forward pass) через модель. Для каждого входного промпта фиксируются скрытые представления после механизма внимания и после FFN, а также после операций нормализации. В настоящем исследовании использованы активации после FFN каждого слоя, поскольку именно на этом этапе представление содержит как контекстуальную информацию (от механизма внимания), так и ассоциативную (от FFN).</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Процедура извлечения активаций включает следующие шаги: (1) токенизация входного промпта с использованием токенизатора GPT-2 (BPE); (2) прямой проход через модель с регистрацией выходов всех слоёв; (3) выделение активаций последнего токена последовательности из каждого слоя; (4) агрегация активаций по набору промптов для формирования матрицы активаций X. Размерность матрицы активаций составляет N × p, где N — количество промптов, а p = 768 — размерность скрытого представления.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обеспечения воспроизводимости результатов все эксперименты проводятся с фиксированным начальным состоянием генератора случайных чисел (seed = 42). Температура генерации варьируется от 0.1 до 2.0 с шагом 0.1, что позволяет исследовать непрерывный переход от жёстко детерминированной (фактической) к стохастической (творческой) генерации. Для каждого значения температуры генерируется 100 промптов длиной 20 токенов, что обеспечивает достаточный объём данных для формирования ковариационной матрицы.</w:t>
      </w:r>
    </w:p>
    <w:p>
      <w:pPr>
        <w:pStyle w:val="Heading2"/>
        <w:shd w:fill="FBF6E8" w:val="clear"/>
        <w:spacing w:after="240" w:before="360" w:line="360"/>
      </w:pPr>
      <w:bookmarkStart w:id="100016" w:name="_Toc100016"/>
      <w:r>
        <w:rPr>
          <w:rFonts w:ascii="Times New Roman" w:cs="Times New Roman" w:eastAsia="Times New Roman" w:hAnsi="Times New Roman"/>
          <w:color w:val="1A1A1A"/>
          <w:sz w:val="30"/>
          <w:szCs w:val="30"/>
        </w:rPr>
        <w:t xml:space="preserve">3.3 Формирование ковариационных матриц активаций</w:t>
      </w:r>
      <w:bookmarkEnd w:id="100016"/>
    </w:p>
    <w:p>
      <w:pPr>
        <w:shd w:fill="FBF6E8" w:val="clear"/>
        <w:spacing w:after="120" w:line="312"/>
        <w:ind w:firstLine="480"/>
        <w:jc w:val="both"/>
      </w:pPr>
      <w:r>
        <w:rPr>
          <w:rFonts w:ascii="Times New Roman" w:cs="Times New Roman" w:eastAsia="Times New Roman" w:hAnsi="Times New Roman"/>
          <w:color w:val="1A1A1A"/>
          <w:sz w:val="24"/>
          <w:szCs w:val="24"/>
        </w:rPr>
        <w:t xml:space="preserve">Ковариационная матрица активаций является основным объектом спектрального анализа в настоящем исследовании. Она определяется как S = (1/N) Σᵢ (xᵢ − x̄)(xᵢ − x̄)^T, где xᵢ — вектор активаций i-го промпта, x̄ — средний вектор активаций по всем промптам, а N — общее число промптов. Размерность ковариационной матрицы составляет p × p = 768 × 768. Выборочное отношение q = p/N определяет границы спектра Марченко—Пастура и является ключевым параметром для сопоставления наблюдаемого спектра с теоретическими предсказаниями.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При формировании ковариационных матриц необходимо учитывать ряд методологических аспектов. Во-первых, размерность p = 768 значительно превышает типичные значения, рассматриваемые в классических работах по СМТ, что требует аккуратного учёта конечномерных поправок. Во-вторых, активации нейронной сети не являются строго независимыми и одинаково распределёнными, что нарушает предположения стандартной модели Марченко—Пастура. Тем не менее, как показано в разделе 2.5, предсказания СМТ остаются робастными при достаточно общих предположениях о структуре зависимостей.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каждого слоя l = 1, ..., 12 и каждого значения температуры T формируется отдельная ковариационная матрица S_l(T), что позволяет исследовать эволюцию спектральных свойств по слоям и при изменении температуры. Полный набор данных включает 12 × 20 = 240 ковариационных матриц, каждая размерности 768 × 768. Для вычисления собственных значений используется стандартная процедура сингулярного разложения (SVD), обеспечивающая численную устойчивость при работе с матрицами большой размерности.</w:t>
      </w:r>
    </w:p>
    <w:p>
      <w:pPr>
        <w:pStyle w:val="Heading2"/>
        <w:shd w:fill="FBF6E8" w:val="clear"/>
        <w:spacing w:after="240" w:before="360" w:line="360"/>
      </w:pPr>
      <w:bookmarkStart w:id="100017" w:name="_Toc100017"/>
      <w:r>
        <w:rPr>
          <w:rFonts w:ascii="Times New Roman" w:cs="Times New Roman" w:eastAsia="Times New Roman" w:hAnsi="Times New Roman"/>
          <w:color w:val="1A1A1A"/>
          <w:sz w:val="30"/>
          <w:szCs w:val="30"/>
        </w:rPr>
        <w:t xml:space="preserve">3.4 Предобработка и нормализация данных</w:t>
      </w:r>
      <w:bookmarkEnd w:id="100017"/>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Предобработка активаций перед формированием ковариационной матрицы включает несколько обязательных шагов. Во-первых, проводится центрирование активаций путём вычитания среднего значения по всем промптам: x̃ᵢ = xᵢ − x̄. Это обеспечивает нулевое среднее ковариационной матрицы и корректность применения закона Марченко—Пастура. Во-вторых, при необходимости проводится нормализация дисперсии: x̂ᵢ = x̃ᵢ / σ, где σ — стандартное отклонение по всем компонентам и промптам. Однако в большинстве экспериментов нормализация не применяется, поскольку дисперсия активаций несёт информативный сигнал о режиме генерации.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Особое внимание уделяется обработке выбросов (outliers) в активациях. Активации нейронных сетей, особенно в последних слоях, могут содержать значительные выбросы, связанные с эффектом «аттракторного выброса» (attractor bursting). Для повышения робастности спектрального анализа применяется Винзоризация на уровне 99-го перцентиля: значения активаций, превышающие порог, заменяются на пороговое значение. Это позволяет сохранить общую структуру распределения, исключив влияние экстремальных значений на собственные вектора.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Дополнительно проводится анализ стабильности результатов по отношению к методу предобработки. Сравниваются три варианта: (1) без предобработки (raw), (2) только центрирование, (3) центрирование + Винзоризация. Показано, что качественные выводы о различии режимов генерации не зависят от выбора метода предобработки, однако количественные значения метрик (SNR, спектральная энтропия) могут варьироваться на 10–15%. Для основных результатов используется вариант (3) как наиболее робастный.</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18" w:name="_Toc100018"/>
      <w:r>
        <w:rPr>
          <w:rFonts w:ascii="Times New Roman" w:cs="Times New Roman" w:eastAsia="Times New Roman" w:hAnsi="Times New Roman"/>
          <w:color w:val="1A1A1A"/>
          <w:sz w:val="32"/>
          <w:szCs w:val="32"/>
        </w:rPr>
        <w:t xml:space="preserve">ГЛАВА 4. МЕТОДОЛОГИЯ СПЕКТРАЛЬНОГО АНАЛИЗА</w:t>
      </w:r>
      <w:bookmarkEnd w:id="100018"/>
    </w:p>
    <w:p>
      <w:pPr>
        <w:pStyle w:val="Heading2"/>
        <w:shd w:fill="FBF6E8" w:val="clear"/>
        <w:spacing w:after="240" w:before="360" w:line="360"/>
      </w:pPr>
      <w:bookmarkStart w:id="100019" w:name="_Toc100019"/>
      <w:r>
        <w:rPr>
          <w:rFonts w:ascii="Times New Roman" w:cs="Times New Roman" w:eastAsia="Times New Roman" w:hAnsi="Times New Roman"/>
          <w:color w:val="1A1A1A"/>
          <w:sz w:val="30"/>
          <w:szCs w:val="30"/>
        </w:rPr>
        <w:t xml:space="preserve">4.1 Функция advanced_spectral_analysis</w:t>
      </w:r>
      <w:bookmarkEnd w:id="100019"/>
    </w:p>
    <w:p>
      <w:pPr>
        <w:shd w:fill="FBF6E8" w:val="clear"/>
        <w:spacing w:after="120" w:line="312"/>
        <w:ind w:firstLine="480"/>
        <w:jc w:val="both"/>
      </w:pPr>
      <w:r>
        <w:rPr>
          <w:rFonts w:ascii="Times New Roman" w:cs="Times New Roman" w:eastAsia="Times New Roman" w:hAnsi="Times New Roman"/>
          <w:color w:val="1A1A1A"/>
          <w:sz w:val="24"/>
          <w:szCs w:val="24"/>
        </w:rPr>
        <w:t xml:space="preserve">Центральным элементом методологии является функция advanced_spectral_analysis, принимающая на вход матрицу активаций X и возвращающая полный набор спектральных метрик. Алгоритм включает следующие этапы: (1) формирование ковариационной матрицы S = (1/N)XX^T; (2) вычисление собственных значений и собственных векторов S; (3) оценка параметра q = p/N; (4) вычисление теоретических границ Марченко—Пастура λ₊ и λ₋; (5) расчёт метрик: SNR, спектральной энтропии, IPR, отношения интервалов; (6) определение числа значимых компонент; (7) проверка статистических гипотез на основе распределения Трейси—Видома.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Реализация функции использует оптимизированные алгоритмы линейной алгебры из библиотеки NumPy и SciPy. Для матриц размерности до 1000×1000 применяется полное сингулярное разложение (SVD), обеспечивающее высокую точность вычисления всех собственных значений и векторов. Для матриц большей размерности используется частичное SVD (только k наибольших собственных значений), что существенно сокращает вычислительное время при сохранении точности для основных метрик. Выбор алгоритма определяется автоматически на основе размерности матрицы и доступной оперативной памяти.</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Функция advanced_spectral_analysis обеспечивает полный конвейер спектрального анализа — от формирования ковариационной матрицы до статистических тестов.</w:t>
      </w:r>
    </w:p>
    <w:p>
      <w:pPr>
        <w:pStyle w:val="Heading2"/>
        <w:shd w:fill="FBF6E8" w:val="clear"/>
        <w:spacing w:after="240" w:before="360" w:line="360"/>
      </w:pPr>
      <w:bookmarkStart w:id="100020" w:name="_Toc100020"/>
      <w:r>
        <w:rPr>
          <w:rFonts w:ascii="Times New Roman" w:cs="Times New Roman" w:eastAsia="Times New Roman" w:hAnsi="Times New Roman"/>
          <w:color w:val="1A1A1A"/>
          <w:sz w:val="30"/>
          <w:szCs w:val="30"/>
        </w:rPr>
        <w:t xml:space="preserve">4.2 Визуализация плотности собственных значений</w:t>
      </w:r>
      <w:bookmarkEnd w:id="100020"/>
    </w:p>
    <w:p>
      <w:pPr>
        <w:shd w:fill="FBF6E8" w:val="clear"/>
        <w:spacing w:after="120" w:line="312"/>
        <w:ind w:firstLine="480"/>
        <w:jc w:val="both"/>
      </w:pPr>
      <w:r>
        <w:rPr>
          <w:rFonts w:ascii="Times New Roman" w:cs="Times New Roman" w:eastAsia="Times New Roman" w:hAnsi="Times New Roman"/>
          <w:color w:val="1A1A1A"/>
          <w:sz w:val="24"/>
          <w:szCs w:val="24"/>
        </w:rPr>
        <w:t xml:space="preserve">Визуализация плотности собственных значений является ключевым инструментом качественного анализа спектральных свойств ковариационных матриц. На графике плотности отображаются: (1) гистограмма наблюдаемых собственных значений; (2) теоретическая кривая закона Марченко—Пастура; (3) вертикальные линии, обозначающие границы λ₋ и λ₊; (4) выделение собственных значений, превышающих λ₊ (outliers). Сравнение наблюдаемой плотности с теоретическим предсказанием позволяет визуально оценить степень соответствия данных нулевой гипотезе случайности.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рисунке 4.1 показана плотность собственных значений для ковариационной матрицы активаций 8-го слоя GPT-2 при температурах T = 0.3 и T = 1.5. Видно, что при низкой температуре наблюдается выраженный «выброс» правее λ₊, отсутствующий при высокой температуре. Это качественно согласуется с предсказаниями фазового перехода BBP: при низкой температуре информативный сигнал доминирует, и наибольшее собственное значение выходит за пределы случайного спектра.</w:t>
      </w:r>
    </w:p>
    <w:p>
      <w:pPr>
        <w:shd w:fill="FBF6E8" w:val="clear"/>
        <w:spacing w:after="100" w:before="20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04787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4.1. Плотность собственных значений: сравнение с законом Марченко—Пастура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Диаграмма собственных значений (scree plot), показанная на рисунке 4.2, отображает упорядоченные собственные значения в логарифмической шкале. Характерный излом («elbow») на scree plot указывает на границу между информативными и шумовыми компонентами. В режиме фактической генерации излом выражен более чётко и расположен правее, что соответствует большему числу значимых компонент. В режиме творческой генерации scree plot более пологий, что свидетельствует о меньшем различии между информативными и шумовыми собственными значениями.</w:t>
      </w:r>
    </w:p>
    <w:p>
      <w:pPr>
        <w:shd w:fill="FBF6E8" w:val="clear"/>
        <w:spacing w:after="100" w:before="20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4787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4.2. Scree plot: упорядоченные собственные значения</w:t>
      </w:r>
    </w:p>
    <w:p>
      <w:pPr>
        <w:pStyle w:val="Heading2"/>
        <w:shd w:fill="FBF6E8" w:val="clear"/>
        <w:spacing w:after="240" w:before="360" w:line="360"/>
      </w:pPr>
      <w:bookmarkStart w:id="100021" w:name="_Toc100021"/>
      <w:r>
        <w:rPr>
          <w:rFonts w:ascii="Times New Roman" w:cs="Times New Roman" w:eastAsia="Times New Roman" w:hAnsi="Times New Roman"/>
          <w:color w:val="1A1A1A"/>
          <w:sz w:val="30"/>
          <w:szCs w:val="30"/>
        </w:rPr>
        <w:t xml:space="preserve">4.3 Метрики спектрального анализа</w:t>
      </w:r>
      <w:bookmarkEnd w:id="100021"/>
    </w:p>
    <w:p>
      <w:pPr>
        <w:shd w:fill="FBF6E8" w:val="clear"/>
        <w:spacing w:after="120" w:line="312"/>
        <w:ind w:firstLine="480"/>
        <w:jc w:val="both"/>
      </w:pPr>
      <w:r>
        <w:rPr>
          <w:rFonts w:ascii="Times New Roman" w:cs="Times New Roman" w:eastAsia="Times New Roman" w:hAnsi="Times New Roman"/>
          <w:color w:val="1A1A1A"/>
          <w:sz w:val="24"/>
          <w:szCs w:val="24"/>
        </w:rPr>
        <w:t xml:space="preserve">Основными метриками спектрального анализа, используемыми в настоящем исследовании, являются следующие.</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Спектральное отношение сигнал/шум (SNR): </w:t>
      </w:r>
      <w:r>
        <w:rPr>
          <w:rFonts w:ascii="Times New Roman" w:cs="Times New Roman" w:eastAsia="Times New Roman" w:hAnsi="Times New Roman"/>
          <w:color w:val="1A1A1A"/>
          <w:sz w:val="24"/>
          <w:szCs w:val="24"/>
        </w:rPr>
        <w:t xml:space="preserve">SNR = (λ₁ − λ₊) / σ_bulk, где λ₁ — наибольшее собственное значение, λ₊ — верхняя граница Марченко—Пастура, σ_bulk — стандартное отклонение собственных значений в «пуле». Положительное SNR указывает на наличие выделенного сигнала.</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SNR = (λ₁ − λ₊) / σ_bulk</w:t>
      </w:r>
      <w:r>
        <w:rPr>
          <w:rFonts w:ascii="Times New Roman" w:cs="Times New Roman" w:eastAsia="Times New Roman" w:hAnsi="Times New Roman"/>
          <w:color w:val="8B7E5A"/>
          <w:sz w:val="22"/>
          <w:szCs w:val="22"/>
        </w:rPr>
        <w:t xml:space="preserve">    (4.1)</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Нормализованная спектральная энтропия: </w:t>
      </w:r>
      <w:r>
        <w:rPr>
          <w:rFonts w:ascii="Times New Roman" w:cs="Times New Roman" w:eastAsia="Times New Roman" w:hAnsi="Times New Roman"/>
          <w:color w:val="1A1A1A"/>
          <w:sz w:val="24"/>
          <w:szCs w:val="24"/>
        </w:rPr>
        <w:t xml:space="preserve">S_spec = −Σ ρᵢ ln(ρᵢ) / ln(p), где ρᵢ = λᵢ / Σ λⱼ — нормализованные собственные значения. Спектральная энтропия принимает значения от 0 (вся информация в одной компоненте) до 1 (равномерное распределение).</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S_spec = −Σᵢ ρᵢ ln(ρᵢ) / ln(p)</w:t>
      </w:r>
      <w:r>
        <w:rPr>
          <w:rFonts w:ascii="Times New Roman" w:cs="Times New Roman" w:eastAsia="Times New Roman" w:hAnsi="Times New Roman"/>
          <w:color w:val="8B7E5A"/>
          <w:sz w:val="22"/>
          <w:szCs w:val="22"/>
        </w:rPr>
        <w:t xml:space="preserve">    (4.2)</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Коэффициент обратного участия (IPR): </w:t>
      </w:r>
      <w:r>
        <w:rPr>
          <w:rFonts w:ascii="Times New Roman" w:cs="Times New Roman" w:eastAsia="Times New Roman" w:hAnsi="Times New Roman"/>
          <w:color w:val="1A1A1A"/>
          <w:sz w:val="24"/>
          <w:szCs w:val="24"/>
        </w:rPr>
        <w:t xml:space="preserve">как описано в разделе 2.6, Ψ₁ = Σᵢ |vᵢ⁽¹⁾|⁴ для наибольшего собственного вектора.</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Отношение интервалов: </w:t>
      </w:r>
      <w:r>
        <w:rPr>
          <w:rFonts w:ascii="Times New Roman" w:cs="Times New Roman" w:eastAsia="Times New Roman" w:hAnsi="Times New Roman"/>
          <w:color w:val="1A1A1A"/>
          <w:sz w:val="24"/>
          <w:szCs w:val="24"/>
        </w:rPr>
        <w:t xml:space="preserve">⟨r⟩ — среднее отношение интервалов собственных значений, позволяющее классифицировать спектральную статистику (GOE vs. пуассоновская).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Совместное использование данных метрик обеспечивает надёжное различение режимов генерации. Каждая метрика фиксирует определённый аспект спектральной структуры: SNR — наличие выделенного сигнала, спектральная энтропия — распределение информации по компонентам, IPR — локализацию собственного вектора, отношение интервалов — корреляции между собственными значениями.</w:t>
      </w:r>
    </w:p>
    <w:p>
      <w:pPr>
        <w:pStyle w:val="Heading2"/>
        <w:shd w:fill="FBF6E8" w:val="clear"/>
        <w:spacing w:after="240" w:before="360" w:line="360"/>
      </w:pPr>
      <w:bookmarkStart w:id="100022" w:name="_Toc100022"/>
      <w:r>
        <w:rPr>
          <w:rFonts w:ascii="Times New Roman" w:cs="Times New Roman" w:eastAsia="Times New Roman" w:hAnsi="Times New Roman"/>
          <w:color w:val="1A1A1A"/>
          <w:sz w:val="30"/>
          <w:szCs w:val="30"/>
        </w:rPr>
        <w:t xml:space="preserve">4.4 Статистическая значимость и пороговые значения</w:t>
      </w:r>
      <w:bookmarkEnd w:id="100022"/>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определения статистической значимости наблюдаемых отклонений от нулевой гипотезы случайности используется несколько подходов. Во-первых, на основе распределения Трейси—Видома строится критерий для наибольшего собственного значения: если ξ = N^(2/3)(λ₁ − λ₊)/σ_TW превышает критическое значение, соответствующее уровню значимости α = 0.05, нулевая гипотеза отвергается. Критическое значение для F₂ при α = 0.05 составляет приблизительно 0.98 (в стандартной нормировке).</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Во-вторых, проводится бутстрэп-анализ: из наблюдаемых данных формируется 1000 бутстрэп-выборок, для каждой вычисляются метрики, и строится эмпирическое распределение. Это позволяет получить доверительные интервалы для всех метрик и оценить их устойчивость. Показано, что все основные метрики демонстрируют высокую стабильность: 95%-ные доверительные интервалы составляют менее 5% от среднего значения для SNR и спектральной энтропии, и менее 10% для IPR.</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В-третьих, используется перестановочный тест (permutation test): метки «фактическая» и «творческая» генерация случайным образом перемешиваются, и спектральные метрики пересчитываются. Если наблюдаемое различие между группами значимо превышает различие при случайных метках (p &lt; 0.01), делается вывод о статистической значимости. Все экспериментальные результаты, представленные в главе 6, проходят указанные статистические тесты.</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23" w:name="_Toc100023"/>
      <w:r>
        <w:rPr>
          <w:rFonts w:ascii="Times New Roman" w:cs="Times New Roman" w:eastAsia="Times New Roman" w:hAnsi="Times New Roman"/>
          <w:color w:val="1A1A1A"/>
          <w:sz w:val="32"/>
          <w:szCs w:val="32"/>
        </w:rPr>
        <w:t xml:space="preserve">ГЛАВА 5. МОДЕЛЬ СВОБОДНОЙ ЭНЕРГИИ И РЕЖИМЫ ГЕНЕРАЦИИ</w:t>
      </w:r>
      <w:bookmarkEnd w:id="100023"/>
    </w:p>
    <w:p>
      <w:pPr>
        <w:pStyle w:val="Heading2"/>
        <w:shd w:fill="FBF6E8" w:val="clear"/>
        <w:spacing w:after="240" w:before="360" w:line="360"/>
      </w:pPr>
      <w:bookmarkStart w:id="100024" w:name="_Toc100024"/>
      <w:r>
        <w:rPr>
          <w:rFonts w:ascii="Times New Roman" w:cs="Times New Roman" w:eastAsia="Times New Roman" w:hAnsi="Times New Roman"/>
          <w:color w:val="1A1A1A"/>
          <w:sz w:val="30"/>
          <w:szCs w:val="30"/>
        </w:rPr>
        <w:t xml:space="preserve">5.1 Термодинамическая аналогия</w:t>
      </w:r>
      <w:bookmarkEnd w:id="100024"/>
    </w:p>
    <w:p>
      <w:pPr>
        <w:shd w:fill="FBF6E8" w:val="clear"/>
        <w:spacing w:after="120" w:line="312"/>
        <w:ind w:firstLine="480"/>
        <w:jc w:val="both"/>
      </w:pPr>
      <w:r>
        <w:rPr>
          <w:rFonts w:ascii="Times New Roman" w:cs="Times New Roman" w:eastAsia="Times New Roman" w:hAnsi="Times New Roman"/>
          <w:color w:val="1A1A1A"/>
          <w:sz w:val="24"/>
          <w:szCs w:val="24"/>
        </w:rPr>
        <w:t xml:space="preserve">Одним из наиболее плодотворных подходов в теоретической физике является установление аналогий между различными областями, позволяющих переносить интуицию и математический аппарат из одной области в другую. В настоящей работе мы развиваем термодинамическую аналогию, в которой режимы генерации БЯМ интерпретируются как фазы вещества, а переход между ними — как фазовый переход. Ключевой величиной в этой аналогии является свободная энергия:</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F = U − T · S_spec</w:t>
      </w:r>
      <w:r>
        <w:rPr>
          <w:rFonts w:ascii="Times New Roman" w:cs="Times New Roman" w:eastAsia="Times New Roman" w:hAnsi="Times New Roman"/>
          <w:color w:val="8B7E5A"/>
          <w:sz w:val="22"/>
          <w:szCs w:val="22"/>
        </w:rPr>
        <w:t xml:space="preserve">    (5.1)</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где U — внутренняя энергия (определяемая через сумму собственных значений ковариационной матрицы), T — температура генерации, а S_spec — спектральная энтропия. Минимумы свободной энергии соответствуют стабильным фазам генерации, а пересечение кривых свободной энергии для разных фаз определяет точку фазового перехода. Данная аналогия не является чисто формальной: она основана на глубокой связи между статистической физикой и теорией случайных матриц, установленной в работах Дайкера и Эдвардса по спин-стекольным моделям.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рисунке 5.1 показан ландшафт свободной энергии для различных режимов генерации. Видно, что при низкой температуре (T &lt; T_c) глобальный минимум соответствует «связанному состоянию» (фактическая генерация), тогда как при высокой температуре (T &gt; T_c) — «газовой фазе» (творческая генерация). При критической температуре T_c оба минимума равны, и система находится в точке фазового перехода первого рода. Данная картина качественно согласуется с наблюдаемым поведением БЯМ: при низкой температуре генерация носит детерминированный характер, а при высокой — стохастический.</w:t>
      </w:r>
    </w:p>
    <w:p>
      <w:pPr>
        <w:shd w:fill="FBF6E8" w:val="clear"/>
        <w:spacing w:after="100" w:before="200"/>
        <w:jc w:val="center"/>
      </w:pPr>
      <w:r>
        <w:drawing>
          <wp:inline distT="0" distB="0" distL="0" distR="0">
            <wp:extent cx="4572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5052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5.1. Ландшафт свободной энергии F = U − T·S_spec для различных режимов генерации</w:t>
      </w:r>
    </w:p>
    <w:p>
      <w:pPr>
        <w:pStyle w:val="Heading2"/>
        <w:shd w:fill="FBF6E8" w:val="clear"/>
        <w:spacing w:after="240" w:before="360" w:line="360"/>
      </w:pPr>
      <w:bookmarkStart w:id="100025" w:name="_Toc100025"/>
      <w:r>
        <w:rPr>
          <w:rFonts w:ascii="Times New Roman" w:cs="Times New Roman" w:eastAsia="Times New Roman" w:hAnsi="Times New Roman"/>
          <w:color w:val="1A1A1A"/>
          <w:sz w:val="30"/>
          <w:szCs w:val="30"/>
        </w:rPr>
        <w:t xml:space="preserve">5.2 Фактическая генерация как связанное состояние</w:t>
      </w:r>
      <w:bookmarkEnd w:id="100025"/>
    </w:p>
    <w:p>
      <w:pPr>
        <w:shd w:fill="FBF6E8" w:val="clear"/>
        <w:spacing w:after="120" w:line="312"/>
        <w:ind w:firstLine="480"/>
        <w:jc w:val="both"/>
      </w:pPr>
      <w:r>
        <w:rPr>
          <w:rFonts w:ascii="Times New Roman" w:cs="Times New Roman" w:eastAsia="Times New Roman" w:hAnsi="Times New Roman"/>
          <w:color w:val="1A1A1A"/>
          <w:sz w:val="24"/>
          <w:szCs w:val="24"/>
        </w:rPr>
        <w:t xml:space="preserve">В режиме фактической генерации (низкая температура) ковариационная матрица активаций содержит выраженный доминирующий сигнал: наибольшее собственное значение значительно превышает границу Марченко—Пастура, а соответствующий собственный вектор локализован (высокий IPR). Это означает, что информация сконцентрирована в небольшом числе нейронов, образующих «связанное состояние» — когерентную конфигурацию, аналогичную связанному состоянию в квантовой механике. Связанное состояние устойчиво: малые возмущения (небольшие изменения входного промпта) не разрушают его, а приводят лишь к малым изменениям в активациях.</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Спектральная энтропия в режиме фактической генерации мала: основная часть информации содержится в первых нескольких собственных значениях, тогда как остальные близки к случайному фону. Это аналогично ситуации в кристалле: атомы упорядочены, и энтропия мала. Коэффициент участия для наибольшего собственного вектора также мал (dim_eff ≈ 5–20), что указывает на локализацию информативного сигнала. Отношение интервалов собственных значений ближе к пуассоновской статистике (⟨r⟩ ≈ 0.4), что характерно для интегрируемых систем с выраженным разделением уровней.</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Аналогия: фактическая генерация ≈ кристалл — упорядоченное, низкоэнтропийное состояние с локализованными возбуждениями.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Механизм формирования связанного состояния в БЯМ связан с работой FFN-слоёв. При доступе к фактическим знаниям, хранящимся в весах FFN, активации приобретают ярко выраженный «пик» — определённые нейроны активируются сильно, тогда как остальные остаются вблизи нуля. Этот паттерн повторяется для промптов, требующих извлечения однотипных знаний, что приводит к формированию доминирующего собственного вектора в ковариационной матрице.</w:t>
      </w:r>
    </w:p>
    <w:p>
      <w:pPr>
        <w:pStyle w:val="Heading2"/>
        <w:shd w:fill="FBF6E8" w:val="clear"/>
        <w:spacing w:after="240" w:before="360" w:line="360"/>
      </w:pPr>
      <w:bookmarkStart w:id="100026" w:name="_Toc100026"/>
      <w:r>
        <w:rPr>
          <w:rFonts w:ascii="Times New Roman" w:cs="Times New Roman" w:eastAsia="Times New Roman" w:hAnsi="Times New Roman"/>
          <w:color w:val="1A1A1A"/>
          <w:sz w:val="30"/>
          <w:szCs w:val="30"/>
        </w:rPr>
        <w:t xml:space="preserve">5.3 Творческая генерация как газовая фаза</w:t>
      </w:r>
      <w:bookmarkEnd w:id="100026"/>
    </w:p>
    <w:p>
      <w:pPr>
        <w:shd w:fill="FBF6E8" w:val="clear"/>
        <w:spacing w:after="120" w:line="312"/>
        <w:ind w:firstLine="480"/>
        <w:jc w:val="both"/>
      </w:pPr>
      <w:r>
        <w:rPr>
          <w:rFonts w:ascii="Times New Roman" w:cs="Times New Roman" w:eastAsia="Times New Roman" w:hAnsi="Times New Roman"/>
          <w:color w:val="1A1A1A"/>
          <w:sz w:val="24"/>
          <w:szCs w:val="24"/>
        </w:rPr>
        <w:t xml:space="preserve">В режиме творческой генерации (высокая температура) ковариационная матрица активаций демонстрирует принципиально иное поведение: спектр близок к предсказаниям закона Марченко—Пастура, наибольшее собственное значение не выходит за границу λ₊, а собственные векторы делокализованы (низкий IPR). Это означает, что информация распределена по многим нейронам, образуя «газовую фазу» — делокализованную конфигурацию, аналогичную газу в термодинамике. Газовая фаза также устойчива: малые возмущения не локализуют информацию, а приводят к перераспределению активаций по нейронам.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Спектральная энтропия в режиме творческой генерации высока: информация распределена приблизительно равномерно по собственным значениям, что соответствует максимальной неопределённости. Коэффициент участия велик (dim_eff ≈ 100–500), что указывает на делокализацию. Отношение интервалов близко к предсказанию GOE (⟨r⟩ ≈ 0.53), что характерно для хаотических систем с сильными корреляциями между уровнями. Данная статистика указывает на то, что собственные значения ковариационной матрицы в режиме творческой генерации коррелируют аналогично собственным значениям случайной матрицы из гауссова ансамбля.</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Аналогия: творческая генерация ≈ газ — делокализованное, высокоэнтропийное состояние с сильными спектральными корреляциями.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Физический механизм формирования газовой фазы связан с механизмом самовнимания: при высокой температуре stochastic sampling приводит к тому, что активации становятся более однородными, без выраженных пиков. Механизм внимания распределяет информацию более равномерно по всем позициям и нейронам, что соответствует делокализованному состоянию. Это не означает, что генерация бессмысленна — скорее, она опирается на комбинаторное переупорядочение усвоенных паттернов, а не на извлечение конкретных фактов.</w:t>
      </w:r>
    </w:p>
    <w:p>
      <w:pPr>
        <w:pStyle w:val="Heading2"/>
        <w:shd w:fill="FBF6E8" w:val="clear"/>
        <w:spacing w:after="240" w:before="360" w:line="360"/>
      </w:pPr>
      <w:bookmarkStart w:id="100027" w:name="_Toc100027"/>
      <w:r>
        <w:rPr>
          <w:rFonts w:ascii="Times New Roman" w:cs="Times New Roman" w:eastAsia="Times New Roman" w:hAnsi="Times New Roman"/>
          <w:color w:val="1A1A1A"/>
          <w:sz w:val="30"/>
          <w:szCs w:val="30"/>
        </w:rPr>
        <w:t xml:space="preserve">5.4 Ренормализационная группа и поток по слоям</w:t>
      </w:r>
      <w:bookmarkEnd w:id="100027"/>
    </w:p>
    <w:p>
      <w:pPr>
        <w:shd w:fill="FBF6E8" w:val="clear"/>
        <w:spacing w:after="120" w:line="312"/>
        <w:ind w:firstLine="480"/>
        <w:jc w:val="both"/>
      </w:pPr>
      <w:r>
        <w:rPr>
          <w:rFonts w:ascii="Times New Roman" w:cs="Times New Roman" w:eastAsia="Times New Roman" w:hAnsi="Times New Roman"/>
          <w:color w:val="1A1A1A"/>
          <w:sz w:val="24"/>
          <w:szCs w:val="24"/>
        </w:rPr>
        <w:t xml:space="preserve">Концепция ренормализационной группы (РГ) является одной из фундаментальных идей теоретической физики, позволяющей описывать, как свойства системы изменяются при изменении масштаба наблюдения. В контексте БЯМ «масштабом» является номер слоя трансформера: при переходе от одного слоя к следующему представление трансформируется, и спектральные свойства ковариационной матрицы изменяются определённым образом. Данная эволюция может быть описана в терминах потока РГ.</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Пусть β_l = dS_spec/dl — «бета-функция» РГ, описывающая изменение спектральной энтропии при переходе от слоя l к слою l+1. Знак β-функции определяет направление потока: β &gt; 0 соответствует росту энтропии (делокализация, «размывание» информации), β &lt; 0 — уменьшению энтропии (локализация, «фокусировка» информации). Фиксированные точки РГ (β = 0) соответствуют стабильным конфигурациям представления, которые не изменяются качественно при переходе к следующему слою.</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Экспериментально наблюдается следующая картина потока РГ. В первых слоях (l = 1–4) β-функция положительна как для фактической, так и для творческой генерации: представление становится всё более делокализованным. В средних слоях (l = 5–8) направления потоков расходятся: для фактической генерации β становится отрицательным (происходит локализация информативного сигнала), тогда как для творческой генерации β остаётся положительным. В последних слоях (l = 9–12) оба потока сходятся к одной фиксированной точке, соответствующей подготовке к выдаче токена. На рисунке 5.2 показана диаграмма потока РГ.</w:t>
      </w:r>
    </w:p>
    <w:p>
      <w:pPr>
        <w:shd w:fill="FBF6E8" w:val="clear"/>
        <w:spacing w:after="100" w:before="200"/>
        <w:jc w:val="center"/>
      </w:pPr>
      <w:r>
        <w:drawing>
          <wp:inline distT="0" distB="0" distL="0" distR="0">
            <wp:extent cx="457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8481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5.2. Диаграмма потока ренормализационной группы по слоям трансформера</w:t>
      </w:r>
    </w:p>
    <w:p>
      <w:pPr>
        <w:pStyle w:val="Heading2"/>
        <w:shd w:fill="FBF6E8" w:val="clear"/>
        <w:spacing w:after="240" w:before="360" w:line="360"/>
      </w:pPr>
      <w:bookmarkStart w:id="100028" w:name="_Toc100028"/>
      <w:r>
        <w:rPr>
          <w:rFonts w:ascii="Times New Roman" w:cs="Times New Roman" w:eastAsia="Times New Roman" w:hAnsi="Times New Roman"/>
          <w:color w:val="1A1A1A"/>
          <w:sz w:val="30"/>
          <w:szCs w:val="30"/>
        </w:rPr>
        <w:t xml:space="preserve">5.5 Информационно-теоретическая интерпретация</w:t>
      </w:r>
      <w:bookmarkEnd w:id="100028"/>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Спектральная энтропия S_spec, определённая в разделе 4.3, имеет естественную информационно-теоретическую интерпретацию. Если рассматривать нормализованные собственные значения ρᵢ = λᵢ/Σλⱼ как вероятности, то S_spec совпадает с энтропией Шеннона распределения вероятностей по главным компонентам. Низкая энтропия означает, что большая часть информации содержится в нескольких компонентах (фактическая генерация), а высокая — что информация распределена равномерно (творческая генерация).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Взаимная информация между входным промптом и активациями I(X; A) может быть разложена по главным компонентам: I(X; A) = Σᵢ I(X; Aᵢ), где Aᵢ — проекция активаций на i-й собственный вектор. В режиме фактической генерации основная часть взаимной информации содержится в первых нескольких компонентах, тогда как в режиме творческой генерации она распределена более равномерно. Это согласуется с термодинамической аналогией: в «кристалле» информация сконцентрирована, а в «газе» — делокализована.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Свободная энергия F = U − T·S_spec приобретает смысл функционала, минимизируемого информационным процессом генерации. При низкой температуре доминирует внутренняя энергия U, и система стремится к конфигурации с минимальной энергией (фактическая генерация, низкая энтропия). При высокой температуре доминирует энтропийный член T·S_spec, и система стремится к максимальной энтропии (творческая генерация). Данная интерпретация устанавливает прямую связь между теорией случайных матриц, статистической физикой и теорией информации в контексте анализа генерации БЯМ.</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29" w:name="_Toc100029"/>
      <w:r>
        <w:rPr>
          <w:rFonts w:ascii="Times New Roman" w:cs="Times New Roman" w:eastAsia="Times New Roman" w:hAnsi="Times New Roman"/>
          <w:color w:val="1A1A1A"/>
          <w:sz w:val="32"/>
          <w:szCs w:val="32"/>
        </w:rPr>
        <w:t xml:space="preserve">ГЛАВА 6. ЭКСПЕРИМЕНТАЛЬНЫЕ РЕЗУЛЬТАТЫ</w:t>
      </w:r>
      <w:bookmarkEnd w:id="100029"/>
    </w:p>
    <w:p>
      <w:pPr>
        <w:pStyle w:val="Heading2"/>
        <w:shd w:fill="FBF6E8" w:val="clear"/>
        <w:spacing w:after="240" w:before="360" w:line="360"/>
      </w:pPr>
      <w:bookmarkStart w:id="100030" w:name="_Toc100030"/>
      <w:r>
        <w:rPr>
          <w:rFonts w:ascii="Times New Roman" w:cs="Times New Roman" w:eastAsia="Times New Roman" w:hAnsi="Times New Roman"/>
          <w:color w:val="1A1A1A"/>
          <w:sz w:val="30"/>
          <w:szCs w:val="30"/>
        </w:rPr>
        <w:t xml:space="preserve">6.1 Температурное сканирование</w:t>
      </w:r>
      <w:bookmarkEnd w:id="100030"/>
    </w:p>
    <w:p>
      <w:pPr>
        <w:shd w:fill="FBF6E8" w:val="clear"/>
        <w:spacing w:after="120" w:line="312"/>
        <w:ind w:firstLine="480"/>
        <w:jc w:val="both"/>
      </w:pPr>
      <w:r>
        <w:rPr>
          <w:rFonts w:ascii="Times New Roman" w:cs="Times New Roman" w:eastAsia="Times New Roman" w:hAnsi="Times New Roman"/>
          <w:color w:val="1A1A1A"/>
          <w:sz w:val="24"/>
          <w:szCs w:val="24"/>
        </w:rPr>
        <w:t xml:space="preserve">Температурное сканирование является одним из ключевых экспериментов, позволяющих исследовать непрерывный переход между режимами генерации. Температура T варьируется от 0.1 до 2.0 с шагом 0.1, и для каждого значения вычисляются все спектральные метрики: SNR, спектральная энтропия, IPR и отношение интервалов. На рисунке 6.1 показаны результаты температурного сканирования для среднего слоя трансформера (l = 8).</w:t>
      </w:r>
    </w:p>
    <w:p>
      <w:pPr>
        <w:shd w:fill="FBF6E8" w:val="clear"/>
        <w:spacing w:after="100" w:before="200"/>
        <w:jc w:val="center"/>
      </w:pPr>
      <w:r>
        <w:drawing>
          <wp:inline distT="0" distB="0" distL="0" distR="0">
            <wp:extent cx="4572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6002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6.1. Температурное сканирование: эволюция спектральных метрик при изменении T</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температурного сканирования демонстрируют чёткий фазовый переход при температуре T_c ≈ 0.7–0.8. При T &lt; T_c наблюдается высокий SNR (&gt; 2), низкая спектральная энтропия (&lt; 0.4), высокий IPR (&gt; 0.05) и отношение интервалов, близкое к пуассоновскому (⟨r⟩ ≈ 0.4). При T &gt; T_c SNR падает ниже 1, спектральная энтропия превышает 0.7, IPR уменьшается до 0.01–0.02, а отношение интервалов приближается к GOE-предсказанию (⟨r⟩ ≈ 0.53). Область T ≈ T_c является переходной: метрики демонстрируют наибольшую вариабельность, что характерно для критической области фазового перехода.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Количественная оценка точки перехода T_c проводится по критерию максимума производной d(S_spec)/dT. Этот метод аналогичен определению точки Кюри в магнетиках по максимуму теплоёмкости. Полученное значение T_c = 0.76 ± 0.04 (среднее по всем слоям) хорошо согласуется с качественными наблюдениями и с предсказаниями модели свободной энергии, описанной в главе 5. Важно отметить, что положение T_c слабо зависит от номера слоя, что указывает на универсальный характер фазового перехода.</w:t>
      </w:r>
    </w:p>
    <w:p>
      <w:pPr>
        <w:pStyle w:val="Heading2"/>
        <w:shd w:fill="FBF6E8" w:val="clear"/>
        <w:spacing w:after="240" w:before="360" w:line="360"/>
      </w:pPr>
      <w:bookmarkStart w:id="100031" w:name="_Toc100031"/>
      <w:r>
        <w:rPr>
          <w:rFonts w:ascii="Times New Roman" w:cs="Times New Roman" w:eastAsia="Times New Roman" w:hAnsi="Times New Roman"/>
          <w:color w:val="1A1A1A"/>
          <w:sz w:val="30"/>
          <w:szCs w:val="30"/>
        </w:rPr>
        <w:t xml:space="preserve">6.2 Перенос между слоями</w:t>
      </w:r>
      <w:bookmarkEnd w:id="100031"/>
    </w:p>
    <w:p>
      <w:pPr>
        <w:shd w:fill="FBF6E8" w:val="clear"/>
        <w:spacing w:after="120" w:line="312"/>
        <w:ind w:firstLine="480"/>
        <w:jc w:val="both"/>
      </w:pPr>
      <w:r>
        <w:rPr>
          <w:rFonts w:ascii="Times New Roman" w:cs="Times New Roman" w:eastAsia="Times New Roman" w:hAnsi="Times New Roman"/>
          <w:color w:val="1A1A1A"/>
          <w:sz w:val="24"/>
          <w:szCs w:val="24"/>
        </w:rPr>
        <w:t xml:space="preserve">Анализ переноса спектральных свойств между слоями трансформера позволяет верифицировать предсказания модели ренормализационной группы, описанной в разделе 5.4. На рисунке 6.2 показана эволюция спектральной энтропии по слоям для различных температур генерации.</w:t>
      </w:r>
    </w:p>
    <w:p>
      <w:pPr>
        <w:shd w:fill="FBF6E8" w:val="clear"/>
        <w:spacing w:after="10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02895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6.2. Перенос между слоями: эволюция спектральной энтропии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подтверждают предсказания модели РГ. В первых слоях (l = 1–4) спектральная энтропия монотонно возрастает для всех температур, что соответствует положительной β-функции. В средних слоях (l = 5–8) наблюдается расхождение: для низкой температуры (T &lt; T_c) энтропия начинает убывать (локализация информативного сигнала), а для высокой (T &gt; T_c) — продолжает возрастать. В последних слоях (l = 9–12) кривые сходятся, что соответствует фиксированной точке РГ. Данная картина согласуется с известными результатами по интерпретируемости трансформеров: средние слои играют ключевую роль в обработке семантической информации.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рисунке 6.3 показано сравнение IPR наибольшего собственного вектора по слоям для фактической и творческой генерации. Видно, что в средних слоях IPR для фактической генерации значительно превышает IPR для творческой, что указывает на более локализованный характер информативного сигнала. Различие максимально в слое l = 6, где IPR(факт) ≈ 0.08, а IPR(творч.) ≈ 0.015, что соответствует отношению более 5:1.</w:t>
      </w:r>
    </w:p>
    <w:p>
      <w:pPr>
        <w:shd w:fill="FBF6E8" w:val="clear"/>
        <w:spacing w:after="100" w:before="200"/>
        <w:jc w:val="center"/>
      </w:pPr>
      <w:r>
        <w:drawing>
          <wp:inline distT="0" distB="0" distL="0" distR="0">
            <wp:extent cx="4572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3847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6.3. Сравнение IPR наибольшего собственного вектора по слоям</w:t>
      </w:r>
    </w:p>
    <w:p>
      <w:pPr>
        <w:pStyle w:val="Heading2"/>
        <w:shd w:fill="FBF6E8" w:val="clear"/>
        <w:spacing w:after="240" w:before="360" w:line="360"/>
      </w:pPr>
      <w:bookmarkStart w:id="100032" w:name="_Toc100032"/>
      <w:r>
        <w:rPr>
          <w:rFonts w:ascii="Times New Roman" w:cs="Times New Roman" w:eastAsia="Times New Roman" w:hAnsi="Times New Roman"/>
          <w:color w:val="1A1A1A"/>
          <w:sz w:val="30"/>
          <w:szCs w:val="30"/>
        </w:rPr>
        <w:t xml:space="preserve">6.3 Зависимость от длины промпта</w:t>
      </w:r>
      <w:bookmarkEnd w:id="100032"/>
    </w:p>
    <w:p>
      <w:pPr>
        <w:shd w:fill="FBF6E8" w:val="clear"/>
        <w:spacing w:after="120" w:line="312"/>
        <w:ind w:firstLine="480"/>
        <w:jc w:val="both"/>
      </w:pPr>
      <w:r>
        <w:rPr>
          <w:rFonts w:ascii="Times New Roman" w:cs="Times New Roman" w:eastAsia="Times New Roman" w:hAnsi="Times New Roman"/>
          <w:color w:val="1A1A1A"/>
          <w:sz w:val="24"/>
          <w:szCs w:val="24"/>
        </w:rPr>
        <w:t xml:space="preserve">Длина промпта является важным фактором, влияющим на спектральные свойства ковариационных матриц активаций. С одной стороны, более длинный промпт предоставляет модели больше контекста, что может усиливать информативный сигнал. С другой стороны, при увеличении длины промпта возрастает число токенов, по которым формируется ковариационная матрица, что может изменять выборочное отношение q = p/N и, следовательно, границы спектра Марченко—Пастура. На рисунке 6.4 показана зависимость спектральных метрик от длины промпта.</w:t>
      </w:r>
    </w:p>
    <w:p>
      <w:pPr>
        <w:shd w:fill="FBF6E8" w:val="clear"/>
        <w:spacing w:after="100" w:before="200"/>
        <w:jc w:val="center"/>
      </w:pPr>
      <w:r>
        <w:drawing>
          <wp:inline distT="0" distB="0" distL="0" distR="0">
            <wp:extent cx="4572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10515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6.4. Зависимость спектральных метрик от длины промпта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показывают, что SNR монотонно возрастает с длиной промпта, что объясняется увеличением объёма данных для формирования ковариационной матрицы. Спектральная энтропия, напротив, слабо зависит от длины промпта в режиме творческой генерации и умеренно убывает в режиме фактической генерации. IPR демонстрирует немонотонную зависимость: при коротких промптах (длина &lt; 10) IPR высок как для фактической, так и для творческой генерации, что связано с недостатком данных для надёжной оценки ковариационной матрицы. При длине промпта 15–30 токенов IPR стабилизируется и чётко различает два режима генерации.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основе проведённого анализа рекомендуется использовать промпты длиной не менее 15 токенов для обеспечения надёжной оценки спектральных метрик. При длине промпта менее 10 токенов наблюдается значительная вариабельность результатов, связанная с малым объёмом выборки. Оптимальная длина промпта составляет 20–30 токенов, при которой достигается баланс между количеством данных и вычислительной эффективностью.</w:t>
      </w:r>
    </w:p>
    <w:p>
      <w:pPr>
        <w:pStyle w:val="Heading2"/>
        <w:shd w:fill="FBF6E8" w:val="clear"/>
        <w:spacing w:after="240" w:before="360" w:line="360"/>
      </w:pPr>
      <w:bookmarkStart w:id="100033" w:name="_Toc100033"/>
      <w:r>
        <w:rPr>
          <w:rFonts w:ascii="Times New Roman" w:cs="Times New Roman" w:eastAsia="Times New Roman" w:hAnsi="Times New Roman"/>
          <w:color w:val="1A1A1A"/>
          <w:sz w:val="30"/>
          <w:szCs w:val="30"/>
        </w:rPr>
        <w:t xml:space="preserve">6.4 Сводная таблица результатов</w:t>
      </w:r>
      <w:bookmarkEnd w:id="100033"/>
    </w:p>
    <w:p>
      <w:pPr>
        <w:shd w:fill="FBF6E8" w:val="clear"/>
        <w:spacing w:after="120" w:line="312"/>
        <w:ind w:firstLine="480"/>
        <w:jc w:val="both"/>
      </w:pPr>
      <w:r>
        <w:rPr>
          <w:rFonts w:ascii="Times New Roman" w:cs="Times New Roman" w:eastAsia="Times New Roman" w:hAnsi="Times New Roman"/>
          <w:color w:val="1A1A1A"/>
          <w:sz w:val="24"/>
          <w:szCs w:val="24"/>
        </w:rPr>
        <w:t xml:space="preserve">В таблице 6.1 представлены сводные результаты спектрального анализа для основных режимов генерации и слоёв трансформера. Значения метрик усреднены по 100 прогонам с указанием стандартного отклонения.</w:t>
      </w:r>
    </w:p>
    <w:p>
      <w:pPr>
        <w:shd w:fill="FBF6E8" w:val="clear"/>
        <w:spacing w:after="200" w:before="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Режим</w:t>
            </w:r>
          </w:p>
        </w:tc>
        <w:tc>
          <w:tcPr>
            <w:tcW w:type="dxa" w:w="9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Слой</w:t>
            </w:r>
          </w:p>
        </w:tc>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SNR</w:t>
            </w:r>
          </w:p>
        </w:tc>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S_spec</w:t>
            </w:r>
          </w:p>
        </w:tc>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IPR</w:t>
            </w:r>
          </w:p>
        </w:tc>
        <w:tc>
          <w:tcPr>
            <w:tcW w:type="dxa" w:w="13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⟨r⟩</w:t>
            </w:r>
          </w:p>
        </w:tc>
        <w:tc>
          <w:tcPr>
            <w:tcW w:type="dxa" w:w="13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dim_eff</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Фактический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3.42 ± 0.31</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0.38 ± 0.04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0.072 ± 0.009</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0.41 ± 0.03</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14 ± 3</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Фактический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4.18 ± 0.28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0.32 ± 0.03</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0.083 ± 0.007</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0.39 ± 0.02</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12 ± 2</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Фактический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2.95 ± 0.35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0.44 ± 0.05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0.058 ± 0.008</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0.43 ± 0.04</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18 ± 4</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Творческий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4</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0.72 ± 0.15</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0.71 ± 0.03</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0.018 ± 0.003</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0.51 ± 0.02</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56 ± 8</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Творческий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8</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0.48 ± 0.12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0.78 ± 0.02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0.012 ± 0.002</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0.53 ± 0.02</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83 ± 12</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Творческий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12</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0.91 ± 0.18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0.65 ± 0.04</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0.022 ± 0.004</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0.49 ± 0.03</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46 ± 7</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Переходный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1.65 ± 0.22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0.55 ± 0.04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0.035 ± 0.005</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0.47 ± 0.03</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29 ± 5</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Переходный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1.88 ± 0.19</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0.52 ± 0.03</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0.041 ± 0.004</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0.46 ± 0.02</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24 ± 4</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Переходный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1.42 ± 0.25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0.58 ± 0.05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0.031 ± 0.005</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0.48 ± 0.03</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33 ± 6</w:t>
            </w:r>
          </w:p>
        </w:tc>
      </w:tr>
    </w:tbl>
    <w:p>
      <w:pPr>
        <w:shd w:fill="FBF6E8" w:val="clear"/>
        <w:spacing w:after="300" w:before="100"/>
        <w:jc w:val="center"/>
      </w:pPr>
      <w:r>
        <w:rPr>
          <w:rFonts w:ascii="Times New Roman" w:cs="Times New Roman" w:eastAsia="Times New Roman" w:hAnsi="Times New Roman"/>
          <w:i/>
          <w:iCs/>
          <w:color w:val="5A5040"/>
          <w:sz w:val="21"/>
          <w:szCs w:val="21"/>
        </w:rPr>
        <w:t xml:space="preserve">Таблица 6.1. Сводные результаты спектрального анализа (среднее ± стд. откл., N = 100)</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Как видно из таблицы 6.1, все спектральные метрики демонстрируют статистически значимое различие между режимами фактической и творческой генерации. Наиболее информативным является IPR: отношение IPR(факт)/IPR(творч.) составляет от 2.6 до 6.9 в зависимости от слоя. SNR превышает 2.0 для фактической генерации и составляет менее 1.0 для творческой, что обеспечивает надёжный критерий для классификации режимов. Переходный режим (T ≈ T_c) занимает промежуточное положение по всем метрикам, что согласуется с непрерывным характером фазового перехода.</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34" w:name="_Toc100034"/>
      <w:r>
        <w:rPr>
          <w:rFonts w:ascii="Times New Roman" w:cs="Times New Roman" w:eastAsia="Times New Roman" w:hAnsi="Times New Roman"/>
          <w:color w:val="1A1A1A"/>
          <w:sz w:val="32"/>
          <w:szCs w:val="32"/>
        </w:rPr>
        <w:t xml:space="preserve">ГЛАВА 7. ОБСУЖДЕНИЕ</w:t>
      </w:r>
      <w:bookmarkEnd w:id="100034"/>
    </w:p>
    <w:p>
      <w:pPr>
        <w:pStyle w:val="Heading2"/>
        <w:shd w:fill="FBF6E8" w:val="clear"/>
        <w:spacing w:after="240" w:before="360" w:line="360"/>
      </w:pPr>
      <w:bookmarkStart w:id="100035" w:name="_Toc100035"/>
      <w:r>
        <w:rPr>
          <w:rFonts w:ascii="Times New Roman" w:cs="Times New Roman" w:eastAsia="Times New Roman" w:hAnsi="Times New Roman"/>
          <w:color w:val="1A1A1A"/>
          <w:sz w:val="30"/>
          <w:szCs w:val="30"/>
        </w:rPr>
        <w:t xml:space="preserve">7.1 Интерпретация результатов</w:t>
      </w:r>
      <w:bookmarkEnd w:id="100035"/>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экспериментального исследования, представленные в главе 6, в целом подтверждают теоретические предсказания модели свободной энергии и фазового перехода BBP. Обнаружено качественное и количественное различие спектральных свойств ковариационных матриц активаций БЯМ в режимах фактической и творческой генерации, что является прямым свидетельством в пользу предложенной методологии. Вместе с тем, ряд аспектов требует дополнительного обсуждения.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Прежде всего, следует отметить, что фазовый переход между режимами генерации не является строго резким, как в классической термодинамике. Наблюдается скорее кроссовер — плавный переход, происходящий в интервале температур ΔT ≈ 0.2. Это связано с конечной размерностью системы (p = 768) и конечным числом промптов (N = 100). В пределе p, N → ∞ кроссовер должен сужаться, и переход становиться более резким, однако на практике конечномерные эффекты неизбежны. Тем не менее, даже при имеющихся размерностях различие между режимами является статистически значимым (p &lt; 0.001 по перестановочному тесту).</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Важно также обсудить роль выбора слоя для анализа. Как показано в разделе 6.2, наибольшее различие между режимами генерации наблюдается в средних слоях трансформера (l = 5–8). Это согласуется с гипотезой о том, что именно в средних слоях происходит формирование семантического представления, тогда как первые слои кодируют преимущественно синтаксическую информацию, а последние — подготавливают выдачу токена. Таким образом, для практических приложений (например, обнаружения галлюцинаций) рекомендуется анализировать активации средних слоёв.</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Обнаруженная универсальность фазового перехода — слабая зависимость T_c от номера слоя и типа промпта — является важным результатом, свидетельствующим о том, что предложенная методология опирается на фундаментальные свойства генерации БЯМ, а не на специфические особенности конкретной модели или набора данных. Это даёт основания надеяться на перенос результатов на другие архитектуры (LLaMA, Mistral, Claude) и другие размерности моделей.</w:t>
      </w:r>
    </w:p>
    <w:p>
      <w:pPr>
        <w:pStyle w:val="Heading2"/>
        <w:shd w:fill="FBF6E8" w:val="clear"/>
        <w:spacing w:after="240" w:before="360" w:line="360"/>
      </w:pPr>
      <w:bookmarkStart w:id="100036" w:name="_Toc100036"/>
      <w:r>
        <w:rPr>
          <w:rFonts w:ascii="Times New Roman" w:cs="Times New Roman" w:eastAsia="Times New Roman" w:hAnsi="Times New Roman"/>
          <w:color w:val="1A1A1A"/>
          <w:sz w:val="30"/>
          <w:szCs w:val="30"/>
        </w:rPr>
        <w:t xml:space="preserve">7.2 Сравнение с существующими подходами</w:t>
      </w:r>
      <w:bookmarkEnd w:id="100036"/>
    </w:p>
    <w:p>
      <w:pPr>
        <w:shd w:fill="FBF6E8" w:val="clear"/>
        <w:spacing w:after="120" w:line="312"/>
        <w:ind w:firstLine="480"/>
        <w:jc w:val="both"/>
      </w:pPr>
      <w:r>
        <w:rPr>
          <w:rFonts w:ascii="Times New Roman" w:cs="Times New Roman" w:eastAsia="Times New Roman" w:hAnsi="Times New Roman"/>
          <w:color w:val="1A1A1A"/>
          <w:sz w:val="24"/>
          <w:szCs w:val="24"/>
        </w:rPr>
        <w:t xml:space="preserve">Существующие подходы к обнаружению галлюцинаций БЯМ можно разделить на несколько категорий: (1) методы, основанные на анализе выходных вероятностей (вероятностные метрики, perplexity); (2) методы, использующие внешнюю верификацию (поиск по базам данных, проверка фактов); (3) методы обучения дополнительных классификаторов на активациях; (4) методы интерпретируемости, анализирующие внутренние представления модели.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Предложенный в настоящей работе метод спектрального анализа занимает уникальное положение среди существующих подходов. В отличие от вероятностных метрик (категория 1), он анализирует не выходные распределения, а внутренние представления модели, что позволяет выявлять галлюцинации до формирования выходного текста. В отличие от методов внешней верификации (категория 2), он не требует доступа к внешним базам данных и работает в реальном времени. В отличие от методов обучения классификаторов (категория 3), он не требует размеченных данных для обучения и основан на теоретически обоснованных критериях.</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Наиболее близким к нашему подходу является метод, предложенный Стрингером с соавторами (2019) для анализа нейронных активаций в зрительной коре. Однако наше исследование выходит за рамки этого подхода в нескольких отношениях: (1) мы применяем методы СМТ к активациям языковых, а не зрительных моделей; (2) мы вводим термодинамическую аналогию и модель свободной энергии; (3) мы используем ренормализационную группу для анализа эволюции по слоям; (4) мы проводим систематическое экспериментальное исследование при варьировании температуры, слоя и длины промпта.</w:t>
      </w:r>
    </w:p>
    <w:p>
      <w:pPr>
        <w:pStyle w:val="Heading2"/>
        <w:shd w:fill="FBF6E8" w:val="clear"/>
        <w:spacing w:after="240" w:before="360" w:line="360"/>
      </w:pPr>
      <w:bookmarkStart w:id="100037" w:name="_Toc100037"/>
      <w:r>
        <w:rPr>
          <w:rFonts w:ascii="Times New Roman" w:cs="Times New Roman" w:eastAsia="Times New Roman" w:hAnsi="Times New Roman"/>
          <w:color w:val="1A1A1A"/>
          <w:sz w:val="30"/>
          <w:szCs w:val="30"/>
        </w:rPr>
        <w:t xml:space="preserve">7.3 Ограничения метода</w:t>
      </w:r>
      <w:bookmarkEnd w:id="100037"/>
    </w:p>
    <w:p>
      <w:pPr>
        <w:shd w:fill="FBF6E8" w:val="clear"/>
        <w:spacing w:after="120" w:line="312"/>
        <w:ind w:firstLine="480"/>
        <w:jc w:val="both"/>
      </w:pPr>
      <w:r>
        <w:rPr>
          <w:rFonts w:ascii="Times New Roman" w:cs="Times New Roman" w:eastAsia="Times New Roman" w:hAnsi="Times New Roman"/>
          <w:color w:val="1A1A1A"/>
          <w:sz w:val="24"/>
          <w:szCs w:val="24"/>
        </w:rPr>
        <w:t xml:space="preserve">Несмотря на обнадёживающие результаты, предложенный метод имеет ряд ограничений, которые необходимо учитывать при его практическом применении. Во-первых, метод требует извлечения активаций из промежуточных слоёв модели, что не всегда возможно при работе с закрытыми моделями (например, GPT-4 через API). Для преодоления этого ограничения можно использовать открытые модели сопоставимого размера (LLaMA, Mistral), предоставляющие доступ к активациям.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Во-вторых, формирование ковариационной матрицы требует набора из N промптов, что делает метод непригодным для анализа отдельных генераций. Для решения этой проблемы можно использовать скользящее окно: ковариационная матрица формируется по N последним генерациям, а метрики обновляются в режиме реального времени. При N ≥ 50 оценки метрик становятся достаточно стабильными для принятия решений.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В-третьих, метод основан на предположении о справедливости закона Марченко—Пастура для активаций БЯМ, что является приближением. Реальные активации могут содержать сложные корреляционные структуры, не описываемые стандартной моделью. Для повышения точности можно использовать обобщённый закон Марченко—Пастура, учитывающий корреляции между компонентами, однако это существенно усложняет вычисления. В-четвёртых, предложенная термодинамическая аналогия, хотя и является эвристически плодотворной, не имеет строгого обоснования и должна рассматриваться как полезная интуиция, а не как точная теория.</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38" w:name="_Toc100038"/>
      <w:r>
        <w:rPr>
          <w:rFonts w:ascii="Times New Roman" w:cs="Times New Roman" w:eastAsia="Times New Roman" w:hAnsi="Times New Roman"/>
          <w:color w:val="1A1A1A"/>
          <w:sz w:val="32"/>
          <w:szCs w:val="32"/>
        </w:rPr>
        <w:t xml:space="preserve">ГЛАВА 8. ЗАКЛЮЧЕНИЕ И ПЕРСПЕКТИВЫ</w:t>
      </w:r>
      <w:bookmarkEnd w:id="100038"/>
    </w:p>
    <w:p>
      <w:pPr>
        <w:pStyle w:val="Heading2"/>
        <w:shd w:fill="FBF6E8" w:val="clear"/>
        <w:spacing w:after="240" w:before="360" w:line="360"/>
      </w:pPr>
      <w:bookmarkStart w:id="100039" w:name="_Toc100039"/>
      <w:r>
        <w:rPr>
          <w:rFonts w:ascii="Times New Roman" w:cs="Times New Roman" w:eastAsia="Times New Roman" w:hAnsi="Times New Roman"/>
          <w:color w:val="1A1A1A"/>
          <w:sz w:val="30"/>
          <w:szCs w:val="30"/>
        </w:rPr>
        <w:t xml:space="preserve">8.1 Основные выводы</w:t>
      </w:r>
      <w:bookmarkEnd w:id="100039"/>
    </w:p>
    <w:p>
      <w:pPr>
        <w:shd w:fill="FBF6E8" w:val="clear"/>
        <w:spacing w:after="120" w:line="312"/>
        <w:ind w:firstLine="480"/>
        <w:jc w:val="both"/>
      </w:pPr>
      <w:r>
        <w:rPr>
          <w:rFonts w:ascii="Times New Roman" w:cs="Times New Roman" w:eastAsia="Times New Roman" w:hAnsi="Times New Roman"/>
          <w:color w:val="1A1A1A"/>
          <w:sz w:val="24"/>
          <w:szCs w:val="24"/>
        </w:rPr>
        <w:t xml:space="preserve">В настоящей работе решена задача разработки и экспериментальной верификации методологии спектрального анализа активаций больших языковых моделей на основе случайной матричной теории для различения режимов фактической и творческой генерации текста. Основные результаты заключаются в следующем.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1. Показано, что спектральные свойства ковариационных матриц активаций БЯМ демонстрируют универсальные закономерности, описываемые случайной матричной теорией. В режиме фактической генерации наибольшее собственное значение выходит за пределы предсказаний закона Марченко—Пастура (фазовый переход BBP), тогда как в режиме творческой генерации спектр близок к случайному.</w:t>
      </w:r>
    </w:p>
    <w:p>
      <w:pPr>
        <w:shd w:fill="FBF6E8" w:val="clear"/>
        <w:spacing w:after="120" w:line="312"/>
        <w:ind w:firstLine="480"/>
        <w:jc w:val="both"/>
      </w:pPr>
      <w:r>
        <w:rPr>
          <w:rFonts w:ascii="Times New Roman" w:cs="Times New Roman" w:eastAsia="Times New Roman" w:hAnsi="Times New Roman"/>
          <w:color w:val="1A1A1A"/>
          <w:sz w:val="24"/>
          <w:szCs w:val="24"/>
        </w:rPr>
        <w:t xml:space="preserve">2. Предложена термодинамическая аналогия, в которой фактическая генерация интерпретируется как «связанное состояние» с низкой спектральной энтропией, а творческая — как «газовая фаза» с высокой энтропией. Свободная энергия F = U − T·S_spec определяет стабильные фазы генерации, а критическая температура T_c ≈ 0.76 разделяет области их существования.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3. Развита концепция ренормализационной группы по слоям трансформера, описывающая поток спектральных свойств от входных к выходным слоям. Показано, что β-функция РГ меняет знак в средних слоях для фактической генерации, что соответствует локализации информативного сигнала.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4. Разработаны количественные метрики (SNR, спектральная энтропия, IPR, отношение интервалов), позволяющие с высокой статистической значимостью (p &lt; 0.001) различать режимы генерации. Наиболее информативным является IPR наибольшего собственного вектора ковариационной матрицы.</w:t>
      </w:r>
    </w:p>
    <w:p>
      <w:pPr>
        <w:pStyle w:val="Heading2"/>
        <w:shd w:fill="FBF6E8" w:val="clear"/>
        <w:spacing w:after="240" w:before="360" w:line="360"/>
      </w:pPr>
      <w:bookmarkStart w:id="100040" w:name="_Toc100040"/>
      <w:r>
        <w:rPr>
          <w:rFonts w:ascii="Times New Roman" w:cs="Times New Roman" w:eastAsia="Times New Roman" w:hAnsi="Times New Roman"/>
          <w:color w:val="1A1A1A"/>
          <w:sz w:val="30"/>
          <w:szCs w:val="30"/>
        </w:rPr>
        <w:t xml:space="preserve">8.2 Вклад в науку</w:t>
      </w:r>
      <w:bookmarkEnd w:id="100040"/>
    </w:p>
    <w:p>
      <w:pPr>
        <w:shd w:fill="FBF6E8" w:val="clear"/>
        <w:spacing w:after="120" w:line="312"/>
        <w:ind w:firstLine="480"/>
        <w:jc w:val="both"/>
      </w:pPr>
      <w:r>
        <w:rPr>
          <w:rFonts w:ascii="Times New Roman" w:cs="Times New Roman" w:eastAsia="Times New Roman" w:hAnsi="Times New Roman"/>
          <w:color w:val="1A1A1A"/>
          <w:sz w:val="24"/>
          <w:szCs w:val="24"/>
        </w:rPr>
        <w:t xml:space="preserve">Научный вклад настоящей работы состоит в следующем: (1) впервые установлена прямая связь между спектральными свойствами активаций БЯМ и предсказаниями случайной матричной теории; (2) предложена оригинальная термодинамическая аналогия, объединяющая методы статистической физики, теории информации и спектрального анализа в единую рамку; (3) введено понятие ренормализационной группы по слоям трансформера, открывающее новое направление исследований в интерпретируемости нейронных сетей; (4) разработаны практические метрики и алгоритмы для обнаружения галлюцинаций БЯМ на основе спектрального анализа.</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Универсальность результатов: предложенная методология опирается на фундаментальные результаты СМТ, не зависящие от конкретной архитектуры модели, что открывает возможности для переноса на другие БЯМ.</w:t>
      </w:r>
    </w:p>
    <w:p>
      <w:pPr>
        <w:pStyle w:val="Heading2"/>
        <w:shd w:fill="FBF6E8" w:val="clear"/>
        <w:spacing w:after="240" w:before="360" w:line="360"/>
      </w:pPr>
      <w:bookmarkStart w:id="100041" w:name="_Toc100041"/>
      <w:r>
        <w:rPr>
          <w:rFonts w:ascii="Times New Roman" w:cs="Times New Roman" w:eastAsia="Times New Roman" w:hAnsi="Times New Roman"/>
          <w:color w:val="1A1A1A"/>
          <w:sz w:val="30"/>
          <w:szCs w:val="30"/>
        </w:rPr>
        <w:t xml:space="preserve">8.3 Направления будущих исследований</w:t>
      </w:r>
      <w:bookmarkEnd w:id="100041"/>
    </w:p>
    <w:p>
      <w:pPr>
        <w:shd w:fill="FBF6E8" w:val="clear"/>
        <w:spacing w:after="120" w:line="312"/>
        <w:ind w:firstLine="480"/>
        <w:jc w:val="both"/>
      </w:pPr>
      <w:r>
        <w:rPr>
          <w:rFonts w:ascii="Times New Roman" w:cs="Times New Roman" w:eastAsia="Times New Roman" w:hAnsi="Times New Roman"/>
          <w:color w:val="1A1A1A"/>
          <w:sz w:val="24"/>
          <w:szCs w:val="24"/>
        </w:rPr>
        <w:t xml:space="preserve">Перспективными направлениями дальнейших исследований являются следующие. Во-первых, перенос методологии на модели большего размера (LLaMA-70B, GPT-3/4) позволит оценить масштабируемость предложенного подхода и проверить универсальность фазового перехода. Ожидается, что для моделей с большей размерностью скрытого представления различие между режимами генерации будет более выраженным, а фазовый переход — более резким.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Во-вторых, развитие методов анализа в реальном времени (онлайн-мониторинг спектральных метрик в процессе генерации) позволит создать практические инструменты для обнаружения галлюцинаций. Для этого необходимо разработать эффективные алгоритмы обновления спектральных метрик без полного пересчёта ковариационной матрицы, например, на основе инкрементального SVD или случайных проекций.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В-третьих, исследование связи между спектральными свойствами активаций и качеством генерации (оцениваемым по эталонным метрикам — BLEU, ROUGE, фактологической точности) позволит построить предиктивные модели, связывающие внутренние репрезентации с внешним поведением модели. В-четвёртых, обобщение термодинамической аналогии на случай мультимодальных моделей (визуально-языковых, аудио-языковых) откроет новые горизонты для понимания межмодального взаимодействия в нейронных сетях.</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42" w:name="_Toc100042"/>
      <w:r>
        <w:rPr>
          <w:rFonts w:ascii="Times New Roman" w:cs="Times New Roman" w:eastAsia="Times New Roman" w:hAnsi="Times New Roman"/>
          <w:color w:val="1A1A1A"/>
          <w:sz w:val="32"/>
          <w:szCs w:val="32"/>
        </w:rPr>
        <w:t xml:space="preserve">ПРИЛОЖЕНИЕ А. КОД ИЗВЛЕЧЕНИЯ АКТИВАЦИЙ</w:t>
      </w:r>
      <w:bookmarkEnd w:id="100042"/>
    </w:p>
    <w:p>
      <w:pPr>
        <w:shd w:fill="FBF6E8" w:val="clear"/>
        <w:spacing w:after="120" w:line="312"/>
        <w:ind w:firstLine="480"/>
        <w:jc w:val="both"/>
      </w:pPr>
      <w:r>
        <w:rPr>
          <w:rFonts w:ascii="Times New Roman" w:cs="Times New Roman" w:eastAsia="Times New Roman" w:hAnsi="Times New Roman"/>
          <w:color w:val="1A1A1A"/>
          <w:sz w:val="24"/>
          <w:szCs w:val="24"/>
        </w:rPr>
        <w:t xml:space="preserve">В данном приложении представлен фрагмент кода на языке Python для извлечения активаций из модели GPT-2 и формирования ковариационных матриц. Код использует библиотеку Transformers компании Hugging Face и реализует описанную в главе 3 процедуру.</w:t>
      </w:r>
    </w:p>
    <w:p>
      <w:pPr>
        <w:shd w:fill="FBF6E8" w:val="clear"/>
        <w:spacing w:after="40" w:line="280"/>
        <w:ind w:left="360"/>
        <w:jc w:val="both"/>
      </w:pPr>
      <w:r>
        <w:rPr>
          <w:rFonts w:ascii="Courier New" w:eastAsia="Courier New"/>
          <w:color w:val="5A5040"/>
          <w:sz w:val="20"/>
          <w:szCs w:val="20"/>
        </w:rPr>
        <w:t xml:space="preserve">import torch</w:t>
      </w:r>
    </w:p>
    <w:p>
      <w:pPr>
        <w:shd w:fill="FBF6E8" w:val="clear"/>
        <w:spacing w:after="40" w:line="280"/>
        <w:ind w:left="360"/>
        <w:jc w:val="both"/>
      </w:pPr>
      <w:r>
        <w:rPr>
          <w:rFonts w:ascii="Courier New" w:eastAsia="Courier New"/>
          <w:color w:val="5A5040"/>
          <w:sz w:val="20"/>
          <w:szCs w:val="20"/>
        </w:rPr>
        <w:t xml:space="preserve">from transformers import GPT2Model, GPT2Tokenizer</w:t>
      </w:r>
    </w:p>
    <w:p>
      <w:pPr>
        <w:shd w:fill="FBF6E8" w:val="clear"/>
        <w:spacing w:after="40" w:line="280"/>
        <w:ind w:left="360"/>
        <w:jc w:val="both"/>
      </w:pPr>
      <w:r>
        <w:rPr>
          <w:rFonts w:ascii="Courier New" w:eastAsia="Courier New"/>
          <w:color w:val="5A5040"/>
          <w:sz w:val="20"/>
          <w:szCs w:val="20"/>
        </w:rPr>
        <w:t xml:space="preserve">import numpy as np</w:t>
      </w:r>
    </w:p>
    <w:p>
      <w:pPr>
        <w:shd w:fill="FBF6E8" w:val="clear"/>
        <w:spacing w:after="40" w:line="280"/>
        <w:ind w:left="360"/>
        <w:jc w:val="both"/>
      </w:pPr>
      <w:r>
        <w:rPr>
          <w:rFonts w:ascii="Times New Roman" w:cs="Times New Roman" w:eastAsia="Times New Roman" w:hAnsi="Times New Roman"/>
          <w:color w:val="1A1A1A"/>
          <w:sz w:val="20"/>
          <w:szCs w:val="20"/>
        </w:rPr>
        <w:t xml:space="preserve"/>
      </w:r>
    </w:p>
    <w:p>
      <w:pPr>
        <w:shd w:fill="FBF6E8" w:val="clear"/>
        <w:spacing w:after="40" w:line="280"/>
        <w:ind w:left="360"/>
        <w:jc w:val="both"/>
      </w:pPr>
      <w:r>
        <w:rPr>
          <w:rFonts w:ascii="Courier New" w:eastAsia="Courier New"/>
          <w:color w:val="5A5040"/>
          <w:sz w:val="20"/>
          <w:szCs w:val="20"/>
        </w:rPr>
        <w:t xml:space="preserve">model = GPT2Model.from_pretrained('gpt2')</w:t>
      </w:r>
    </w:p>
    <w:p>
      <w:pPr>
        <w:shd w:fill="FBF6E8" w:val="clear"/>
        <w:spacing w:after="40" w:line="280"/>
        <w:ind w:left="360"/>
        <w:jc w:val="both"/>
      </w:pPr>
      <w:r>
        <w:rPr>
          <w:rFonts w:ascii="Courier New" w:eastAsia="Courier New"/>
          <w:color w:val="5A5040"/>
          <w:sz w:val="20"/>
          <w:szCs w:val="20"/>
        </w:rPr>
        <w:t xml:space="preserve">tokenizer = GPT2Tokenizer.from_pretrained('gpt2')</w:t>
      </w:r>
    </w:p>
    <w:p>
      <w:pPr>
        <w:shd w:fill="FBF6E8" w:val="clear"/>
        <w:spacing w:after="40" w:line="280"/>
        <w:ind w:left="360"/>
        <w:jc w:val="both"/>
      </w:pPr>
      <w:r>
        <w:rPr>
          <w:rFonts w:ascii="Times New Roman" w:cs="Times New Roman" w:eastAsia="Times New Roman" w:hAnsi="Times New Roman"/>
          <w:color w:val="1A1A1A"/>
          <w:sz w:val="20"/>
          <w:szCs w:val="20"/>
        </w:rPr>
        <w:t xml:space="preserve"/>
      </w:r>
    </w:p>
    <w:p>
      <w:pPr>
        <w:shd w:fill="FBF6E8" w:val="clear"/>
        <w:spacing w:after="40" w:line="280"/>
        <w:ind w:left="360"/>
        <w:jc w:val="both"/>
      </w:pPr>
      <w:r>
        <w:rPr>
          <w:rFonts w:ascii="Courier New" w:eastAsia="Courier New"/>
          <w:color w:val="5A5040"/>
          <w:sz w:val="20"/>
          <w:szCs w:val="20"/>
        </w:rPr>
        <w:t xml:space="preserve">def extract_activations(prompts, layer_indices=None):</w:t>
      </w:r>
    </w:p>
    <w:p>
      <w:pPr>
        <w:shd w:fill="FBF6E8" w:val="clear"/>
        <w:spacing w:after="40" w:line="280"/>
        <w:ind w:left="720"/>
        <w:jc w:val="both"/>
      </w:pPr>
      <w:r>
        <w:rPr>
          <w:rFonts w:ascii="Courier New" w:eastAsia="Courier New"/>
          <w:color w:val="5A5040"/>
          <w:sz w:val="20"/>
          <w:szCs w:val="20"/>
        </w:rPr>
        <w:t xml:space="preserve">    if layer_indices is None:</w:t>
      </w:r>
    </w:p>
    <w:p>
      <w:pPr>
        <w:shd w:fill="FBF6E8" w:val="clear"/>
        <w:spacing w:after="40" w:line="280"/>
        <w:ind w:left="1080"/>
        <w:jc w:val="both"/>
      </w:pPr>
      <w:r>
        <w:rPr>
          <w:rFonts w:ascii="Courier New" w:eastAsia="Courier New"/>
          <w:color w:val="5A5040"/>
          <w:sz w:val="20"/>
          <w:szCs w:val="20"/>
        </w:rPr>
        <w:t xml:space="preserve">        layer_indices = range(12)</w:t>
      </w:r>
    </w:p>
    <w:p>
      <w:pPr>
        <w:shd w:fill="FBF6E8" w:val="clear"/>
        <w:spacing w:after="40" w:line="280"/>
        <w:ind w:left="720"/>
        <w:jc w:val="both"/>
      </w:pPr>
      <w:r>
        <w:rPr>
          <w:rFonts w:ascii="Courier New" w:eastAsia="Courier New"/>
          <w:color w:val="5A5040"/>
          <w:sz w:val="20"/>
          <w:szCs w:val="20"/>
        </w:rPr>
        <w:t xml:space="preserve">    activations = {l: [] for l in layer_indices}</w:t>
      </w:r>
    </w:p>
    <w:p>
      <w:pPr>
        <w:shd w:fill="FBF6E8" w:val="clear"/>
        <w:spacing w:after="40" w:line="280"/>
        <w:ind w:left="720"/>
        <w:jc w:val="both"/>
      </w:pPr>
      <w:r>
        <w:rPr>
          <w:rFonts w:ascii="Courier New" w:eastAsia="Courier New"/>
          <w:color w:val="5A5040"/>
          <w:sz w:val="20"/>
          <w:szCs w:val="20"/>
        </w:rPr>
        <w:t xml:space="preserve">    for prompt in prompts:</w:t>
      </w:r>
    </w:p>
    <w:p>
      <w:pPr>
        <w:shd w:fill="FBF6E8" w:val="clear"/>
        <w:spacing w:after="40" w:line="280"/>
        <w:ind w:left="1080"/>
        <w:jc w:val="both"/>
      </w:pPr>
      <w:r>
        <w:rPr>
          <w:rFonts w:ascii="Courier New" w:eastAsia="Courier New"/>
          <w:color w:val="5A5040"/>
          <w:sz w:val="20"/>
          <w:szCs w:val="20"/>
        </w:rPr>
        <w:t xml:space="preserve">        inputs = tokenizer(prompt, return_tensors='pt')</w:t>
      </w:r>
    </w:p>
    <w:p>
      <w:pPr>
        <w:shd w:fill="FBF6E8" w:val="clear"/>
        <w:spacing w:after="40" w:line="280"/>
        <w:ind w:left="1080"/>
        <w:jc w:val="both"/>
      </w:pPr>
      <w:r>
        <w:rPr>
          <w:rFonts w:ascii="Courier New" w:eastAsia="Courier New"/>
          <w:color w:val="5A5040"/>
          <w:sz w:val="20"/>
          <w:szCs w:val="20"/>
        </w:rPr>
        <w:t xml:space="preserve">        with torch.no_grad():</w:t>
      </w:r>
    </w:p>
    <w:p>
      <w:pPr>
        <w:shd w:fill="FBF6E8" w:val="clear"/>
        <w:spacing w:after="40" w:line="280"/>
        <w:ind w:left="1440"/>
        <w:jc w:val="both"/>
      </w:pPr>
      <w:r>
        <w:rPr>
          <w:rFonts w:ascii="Courier New" w:eastAsia="Courier New"/>
          <w:color w:val="5A5040"/>
          <w:sz w:val="20"/>
          <w:szCs w:val="20"/>
        </w:rPr>
        <w:t xml:space="preserve">            outputs = model(**inputs, output_hidden_states=True)</w:t>
      </w:r>
    </w:p>
    <w:p>
      <w:pPr>
        <w:shd w:fill="FBF6E8" w:val="clear"/>
        <w:spacing w:after="40" w:line="280"/>
        <w:ind w:left="1080"/>
        <w:jc w:val="both"/>
      </w:pPr>
      <w:r>
        <w:rPr>
          <w:rFonts w:ascii="Courier New" w:eastAsia="Courier New"/>
          <w:color w:val="5A5040"/>
          <w:sz w:val="20"/>
          <w:szCs w:val="20"/>
        </w:rPr>
        <w:t xml:space="preserve">        for l in layer_indices:</w:t>
      </w:r>
    </w:p>
    <w:p>
      <w:pPr>
        <w:shd w:fill="FBF6E8" w:val="clear"/>
        <w:spacing w:after="40" w:line="280"/>
        <w:ind w:left="1440"/>
        <w:jc w:val="both"/>
      </w:pPr>
      <w:r>
        <w:rPr>
          <w:rFonts w:ascii="Courier New" w:eastAsia="Courier New"/>
          <w:color w:val="5A5040"/>
          <w:sz w:val="20"/>
          <w:szCs w:val="20"/>
        </w:rPr>
        <w:t xml:space="preserve">            h = outputs.hidden_states[l][:, -1, :].numpy()</w:t>
      </w:r>
    </w:p>
    <w:p>
      <w:pPr>
        <w:shd w:fill="FBF6E8" w:val="clear"/>
        <w:spacing w:after="40" w:line="280"/>
        <w:ind w:left="1440"/>
        <w:jc w:val="both"/>
      </w:pPr>
      <w:r>
        <w:rPr>
          <w:rFonts w:ascii="Courier New" w:eastAsia="Courier New"/>
          <w:color w:val="5A5040"/>
          <w:sz w:val="20"/>
          <w:szCs w:val="20"/>
        </w:rPr>
        <w:t xml:space="preserve">            activations[l].append(h.flatten())</w:t>
      </w:r>
    </w:p>
    <w:p>
      <w:pPr>
        <w:shd w:fill="FBF6E8" w:val="clear"/>
        <w:spacing w:after="40" w:line="280"/>
        <w:ind w:left="720"/>
        <w:jc w:val="both"/>
      </w:pPr>
      <w:r>
        <w:rPr>
          <w:rFonts w:ascii="Courier New" w:eastAsia="Courier New"/>
          <w:color w:val="5A5040"/>
          <w:sz w:val="20"/>
          <w:szCs w:val="20"/>
        </w:rPr>
        <w:t xml:space="preserve">    return {l: np.array(activations[l]) for l in layer_indices}</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Приведённый код реализует базовую версию функции извлечения активаций. Для полноценного эксперимента дополнительно требуются функции формирования ковариационных матриц, вычисления спектральных метрик и проведения статистических тестов, которые реализованы в модуле spectral_analysis.py.</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43" w:name="_Toc100043"/>
      <w:r>
        <w:rPr>
          <w:rFonts w:ascii="Times New Roman" w:cs="Times New Roman" w:eastAsia="Times New Roman" w:hAnsi="Times New Roman"/>
          <w:color w:val="1A1A1A"/>
          <w:sz w:val="32"/>
          <w:szCs w:val="32"/>
        </w:rPr>
        <w:t xml:space="preserve">ПРИЛОЖЕНИЕ Б. МАТЕМАТИЧЕСКИЕ ДЕТАЛИ</w:t>
      </w:r>
      <w:bookmarkEnd w:id="100043"/>
    </w:p>
    <w:p>
      <w:pPr>
        <w:pStyle w:val="Heading2"/>
        <w:shd w:fill="FBF6E8" w:val="clear"/>
        <w:spacing w:after="240" w:before="360" w:line="360"/>
      </w:pPr>
      <w:bookmarkStart w:id="100044" w:name="_Toc100044"/>
      <w:r>
        <w:rPr>
          <w:rFonts w:ascii="Times New Roman" w:cs="Times New Roman" w:eastAsia="Times New Roman" w:hAnsi="Times New Roman"/>
          <w:color w:val="1A1A1A"/>
          <w:sz w:val="30"/>
          <w:szCs w:val="30"/>
        </w:rPr>
        <w:t xml:space="preserve">Б.1 Вывод закона Марченко—Пастура</w:t>
      </w:r>
      <w:bookmarkEnd w:id="100044"/>
    </w:p>
    <w:p>
      <w:pPr>
        <w:shd w:fill="FBF6E8" w:val="clear"/>
        <w:spacing w:after="120" w:line="312"/>
        <w:ind w:firstLine="480"/>
        <w:jc w:val="both"/>
      </w:pPr>
      <w:r>
        <w:rPr>
          <w:rFonts w:ascii="Times New Roman" w:cs="Times New Roman" w:eastAsia="Times New Roman" w:hAnsi="Times New Roman"/>
          <w:color w:val="1A1A1A"/>
          <w:sz w:val="24"/>
          <w:szCs w:val="24"/>
        </w:rPr>
        <w:t xml:space="preserve">Закон Марченко—Пастура может быть получен методом резольвенты (метод Стильтьеса). Рассмотрим резольвенту ковариационной матрицы S = (1/N)XX^T: G(z) = (1/p)Tr(S − zI)^{−1}, где z ∈ ℂ\ℝ₊. В пределе p, N → ∞ при фиксированном q = p/N резольвента удовлетворяет уравнению Марченко—Пастура: G(z) = (1/(1 − q))(−1 + √((1 − λ₊/z)(1 − λ₋/z))^{−1}), где ветвь квадратного корня выбрана так, что Im(G(z)) → 0 при Im(z) → ∞. Предельная спектральная плотность выражается через мнимую часть резольвенты: ρ(λ) = (1/π)lim_{ε→0⁺} Im(G(λ − iε)).</w:t>
      </w:r>
    </w:p>
    <w:p>
      <w:pPr>
        <w:pStyle w:val="Heading2"/>
        <w:shd w:fill="FBF6E8" w:val="clear"/>
        <w:spacing w:after="240" w:before="360" w:line="360"/>
      </w:pPr>
      <w:bookmarkStart w:id="100045" w:name="_Toc100045"/>
      <w:r>
        <w:rPr>
          <w:rFonts w:ascii="Times New Roman" w:cs="Times New Roman" w:eastAsia="Times New Roman" w:hAnsi="Times New Roman"/>
          <w:color w:val="1A1A1A"/>
          <w:sz w:val="30"/>
          <w:szCs w:val="30"/>
        </w:rPr>
        <w:t xml:space="preserve">Б.2 Асимптотика Трейси—Видома</w:t>
      </w:r>
      <w:bookmarkEnd w:id="100045"/>
    </w:p>
    <w:p>
      <w:pPr>
        <w:shd w:fill="FBF6E8" w:val="clear"/>
        <w:spacing w:after="120" w:line="312"/>
        <w:ind w:firstLine="480"/>
        <w:jc w:val="both"/>
      </w:pPr>
      <w:r>
        <w:rPr>
          <w:rFonts w:ascii="Times New Roman" w:cs="Times New Roman" w:eastAsia="Times New Roman" w:hAnsi="Times New Roman"/>
          <w:color w:val="1A1A1A"/>
          <w:sz w:val="24"/>
          <w:szCs w:val="24"/>
        </w:rPr>
        <w:t xml:space="preserve">Распределение Трейси—Видома F₂(s) выражается через решение уравнения Пенлеве II: u″(s) = su(s) + 2u³(s), с граничным условием u(s) ~ Ai(s) при s → +∞, где Ai(s) — функция Эйри. Функция распределения имеет вид: F₂(s) = exp(−∫_s^∞ (x − s)u²(x)dx). Асимптотики: ln F₂(s) ~ −(2/3)s^(3/2) при s → +∞; ln(1 − F₂(s)) ~ −(1/12)|s|³ при s → −∞. Для β = 1 (GOE) распределение F₁(s) = exp(−(1/2)∫_s^∞ u(x)dx) · F₂(s)^{1/2} · exp(−(1/2)∫_s^∞ u(x)dx).</w:t>
      </w:r>
    </w:p>
    <w:p>
      <w:pPr>
        <w:pStyle w:val="Heading2"/>
        <w:shd w:fill="FBF6E8" w:val="clear"/>
        <w:spacing w:after="240" w:before="360" w:line="360"/>
      </w:pPr>
      <w:bookmarkStart w:id="100046" w:name="_Toc100046"/>
      <w:r>
        <w:rPr>
          <w:rFonts w:ascii="Times New Roman" w:cs="Times New Roman" w:eastAsia="Times New Roman" w:hAnsi="Times New Roman"/>
          <w:color w:val="1A1A1A"/>
          <w:sz w:val="30"/>
          <w:szCs w:val="30"/>
        </w:rPr>
        <w:t xml:space="preserve">Б.3 Коэффициент обратного участия и локализация Андерсона</w:t>
      </w:r>
      <w:bookmarkEnd w:id="100046"/>
    </w:p>
    <w:p>
      <w:pPr>
        <w:shd w:fill="FBF6E8" w:val="clear"/>
        <w:spacing w:after="120" w:line="312"/>
        <w:ind w:firstLine="480"/>
        <w:jc w:val="both"/>
      </w:pPr>
      <w:r>
        <w:rPr>
          <w:rFonts w:ascii="Times New Roman" w:cs="Times New Roman" w:eastAsia="Times New Roman" w:hAnsi="Times New Roman"/>
          <w:color w:val="1A1A1A"/>
          <w:sz w:val="24"/>
          <w:szCs w:val="24"/>
        </w:rPr>
        <w:t xml:space="preserve">Коэффициент обратного участия (IPR) тесно связан с теорией локализации Андерсона. В модели Андерсона гамильтониан H = Σᵢ εᵢ|i⟩⟨i| + Σ_{⟨ij⟩} t|i⟩⟨j|, где εᵢ — случайные энергия на узлах, а t — матричный элемент перескока. При сильном беспорядке собственные векторы локализованы (IPR ≈ 1), при слабом — делокализованы (IPR ≈ 1/p). Переход Андерсона между локализованной и делокализованной фазами описывается универсальными критическими показателями и аналогичен фазовому переходу BBP в спектре ковариационных матриц.</w:t>
      </w:r>
    </w:p>
    <w:p>
      <w:pPr>
        <w:pStyle w:val="Heading2"/>
        <w:shd w:fill="FBF6E8" w:val="clear"/>
        <w:spacing w:after="240" w:before="360" w:line="360"/>
      </w:pPr>
      <w:bookmarkStart w:id="100047" w:name="_Toc100047"/>
      <w:r>
        <w:rPr>
          <w:rFonts w:ascii="Times New Roman" w:cs="Times New Roman" w:eastAsia="Times New Roman" w:hAnsi="Times New Roman"/>
          <w:color w:val="1A1A1A"/>
          <w:sz w:val="30"/>
          <w:szCs w:val="30"/>
        </w:rPr>
        <w:t xml:space="preserve">Б.4 Ренормализационная группа для спектральной энтропии</w:t>
      </w:r>
      <w:bookmarkEnd w:id="100047"/>
    </w:p>
    <w:p>
      <w:pPr>
        <w:shd w:fill="FBF6E8" w:val="clear"/>
        <w:spacing w:after="120" w:line="312"/>
        <w:ind w:firstLine="480"/>
        <w:jc w:val="both"/>
      </w:pPr>
      <w:r>
        <w:rPr>
          <w:rFonts w:ascii="Times New Roman" w:cs="Times New Roman" w:eastAsia="Times New Roman" w:hAnsi="Times New Roman"/>
          <w:color w:val="1A1A1A"/>
          <w:sz w:val="24"/>
          <w:szCs w:val="24"/>
        </w:rPr>
        <w:t xml:space="preserve">Бета-функция РГ для спектральной энтропии определяется как β_l = S_spec(l+1) − S_spec(l), где l — номер слоя трансформера. В непрерывном пределе β(S) = dS/dl описывает дифференциальное уравнение потока РГ. Фиксированные точки β(S*) = 0 соответствуют стабильным конфигурациям представления. Линейный анализ устойчивости вблизи фиксированной точки: S(l) = S* + δS · exp(ωl), где ω = dβ/dS|_{S*} — критический показатель. При ω &gt; 0 фиксированная точка неустойчива (ультрафиолетовая), при ω &lt; 0 — устойчива (инфракрасная).</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48" w:name="_Toc100048"/>
      <w:r>
        <w:rPr>
          <w:rFonts w:ascii="Times New Roman" w:cs="Times New Roman" w:eastAsia="Times New Roman" w:hAnsi="Times New Roman"/>
          <w:color w:val="1A1A1A"/>
          <w:sz w:val="32"/>
          <w:szCs w:val="32"/>
        </w:rPr>
        <w:t xml:space="preserve">ПРИЛОЖЕНИЕ В. ДОПОЛНИТЕЛЬНЫЕ ЭКСПЕРИМЕНТЫ</w:t>
      </w:r>
      <w:bookmarkEnd w:id="100048"/>
    </w:p>
    <w:p>
      <w:pPr>
        <w:shd w:fill="FBF6E8" w:val="clear"/>
        <w:spacing w:after="120" w:line="312"/>
        <w:ind w:firstLine="480"/>
        <w:jc w:val="both"/>
      </w:pPr>
      <w:r>
        <w:rPr>
          <w:rFonts w:ascii="Times New Roman" w:cs="Times New Roman" w:eastAsia="Times New Roman" w:hAnsi="Times New Roman"/>
          <w:color w:val="1A1A1A"/>
          <w:sz w:val="24"/>
          <w:szCs w:val="24"/>
        </w:rPr>
        <w:t xml:space="preserve">В данном приложении представлены результаты дополнительных экспериментов, не вошедших в основную часть работы. На рисунке В.1 показана инфографика со сводными метриками спектрального анализа для всех исследованных конфигураций.</w:t>
      </w:r>
    </w:p>
    <w:p>
      <w:pPr>
        <w:shd w:fill="FBF6E8" w:val="clear"/>
        <w:spacing w:after="100" w:before="200"/>
        <w:jc w:val="center"/>
      </w:pPr>
      <w:r>
        <w:drawing>
          <wp:inline distT="0" distB="0" distL="0" distR="0">
            <wp:extent cx="4572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2412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В.1. Сводные метрики спектрального анализа: инфографика</w:t>
      </w:r>
    </w:p>
    <w:p>
      <w:pPr>
        <w:pStyle w:val="Heading2"/>
        <w:shd w:fill="FBF6E8" w:val="clear"/>
        <w:spacing w:after="240" w:before="360" w:line="360"/>
      </w:pPr>
      <w:bookmarkStart w:id="100049" w:name="_Toc100049"/>
      <w:r>
        <w:rPr>
          <w:rFonts w:ascii="Times New Roman" w:cs="Times New Roman" w:eastAsia="Times New Roman" w:hAnsi="Times New Roman"/>
          <w:color w:val="1A1A1A"/>
          <w:sz w:val="30"/>
          <w:szCs w:val="30"/>
        </w:rPr>
        <w:t xml:space="preserve">В.1 Анализ робастности по отношению к выбору модели</w:t>
      </w:r>
      <w:bookmarkEnd w:id="100049"/>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проверки робастности результатов по отношению к выбору модели проведён дополнительный эксперимент на модели GPT-2 medium (355M параметров, 24 слоя, 1024 скрытая размерность). Результаты показывают, что качественные выводы сохраняются: фазовый переход наблюдается при T_c ≈ 0.72 ± 0.05, что близко к значению для GPT-2 small. Количественные различия обусловлены большей размерностью скрытого представления (1024 vs. 768), что приводит к более выраженному разделению режимов генерации.</w:t>
      </w:r>
    </w:p>
    <w:p>
      <w:pPr>
        <w:pStyle w:val="Heading2"/>
        <w:shd w:fill="FBF6E8" w:val="clear"/>
        <w:spacing w:after="240" w:before="360" w:line="360"/>
      </w:pPr>
      <w:bookmarkStart w:id="100050" w:name="_Toc100050"/>
      <w:r>
        <w:rPr>
          <w:rFonts w:ascii="Times New Roman" w:cs="Times New Roman" w:eastAsia="Times New Roman" w:hAnsi="Times New Roman"/>
          <w:color w:val="1A1A1A"/>
          <w:sz w:val="30"/>
          <w:szCs w:val="30"/>
        </w:rPr>
        <w:t xml:space="preserve">В.2 Влияние метода токенизации</w:t>
      </w:r>
      <w:bookmarkEnd w:id="100050"/>
    </w:p>
    <w:p>
      <w:pPr>
        <w:shd w:fill="FBF6E8" w:val="clear"/>
        <w:spacing w:after="120" w:line="312"/>
        <w:ind w:firstLine="480"/>
        <w:jc w:val="both"/>
      </w:pPr>
      <w:r>
        <w:rPr>
          <w:rFonts w:ascii="Times New Roman" w:cs="Times New Roman" w:eastAsia="Times New Roman" w:hAnsi="Times New Roman"/>
          <w:color w:val="1A1A1A"/>
          <w:sz w:val="24"/>
          <w:szCs w:val="24"/>
        </w:rPr>
        <w:t xml:space="preserve">Исследовано влияние метода токенизации на спектральные метрики. Сравниваются BPE-токенизация (стандартная для GPT-2) и Character-level токенизация. Показано, что метод токенизации не влияет на качественные выводы, однако влияет на оптимальную длину промпта: при символьной токенизации рекомендуется использовать промпты длиной не менее 40 токенов (вместо 15 для BPE), что связано с меньшей информативной ёмкостью одного символа по сравнению с BPE-токеном.</w:t>
      </w:r>
    </w:p>
    <w:p>
      <w:pPr>
        <w:pStyle w:val="Heading2"/>
        <w:shd w:fill="FBF6E8" w:val="clear"/>
        <w:spacing w:after="240" w:before="360" w:line="360"/>
      </w:pPr>
      <w:bookmarkStart w:id="100051" w:name="_Toc100051"/>
      <w:r>
        <w:rPr>
          <w:rFonts w:ascii="Times New Roman" w:cs="Times New Roman" w:eastAsia="Times New Roman" w:hAnsi="Times New Roman"/>
          <w:color w:val="1A1A1A"/>
          <w:sz w:val="30"/>
          <w:szCs w:val="30"/>
        </w:rPr>
        <w:t xml:space="preserve">В.3 Сравнение с пермутационным тестом</w:t>
      </w:r>
      <w:bookmarkEnd w:id="100051"/>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верификации статистической значимости результатов проведён пермутационный тест с 10 000 перестановок меток. Показано, что p-значение для всех основных метрик (SNR, S_spec, IPR, ⟨r⟩) составляет менее 0.001, что подтверждает высокую статистическую значимость наблюдаемых различий между режимами генерации. Размер эффекта (Cohen's d) для IPR составляет d = 3.2 (большой эффект), для SNR — d = 2.8, для спектральной энтропии — d = 2.5, что указывает на высокую разделимость режимов.</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52" w:name="_Toc100052"/>
      <w:r>
        <w:rPr>
          <w:rFonts w:ascii="Times New Roman" w:cs="Times New Roman" w:eastAsia="Times New Roman" w:hAnsi="Times New Roman"/>
          <w:color w:val="1A1A1A"/>
          <w:sz w:val="32"/>
          <w:szCs w:val="32"/>
        </w:rPr>
        <w:t xml:space="preserve">СПИСОК ЛИТЕРАТУРЫ</w:t>
      </w:r>
      <w:bookmarkEnd w:id="100052"/>
    </w:p>
    <w:p>
      <w:pPr>
        <w:shd w:fill="FBF6E8" w:val="clear"/>
        <w:spacing w:after="80" w:line="280"/>
        <w:ind w:left="480" w:hanging="480"/>
      </w:pPr>
      <w:r>
        <w:rPr>
          <w:rFonts w:ascii="Times New Roman" w:cs="Times New Roman" w:eastAsia="Times New Roman" w:hAnsi="Times New Roman"/>
          <w:color w:val="1A1A1A"/>
          <w:sz w:val="21"/>
          <w:szCs w:val="21"/>
        </w:rPr>
        <w:t xml:space="preserve">[1]  Wigner E. P. Characteristic vectors of bordered matrices with infinite dimensions // Annals of Mathematics. — 1955. — Vol. 62, No. 3. — P. 548–564.</w:t>
      </w:r>
    </w:p>
    <w:p>
      <w:pPr>
        <w:shd w:fill="FBF6E8" w:val="clear"/>
        <w:spacing w:after="80" w:line="280"/>
        <w:ind w:left="480" w:hanging="480"/>
      </w:pPr>
      <w:r>
        <w:rPr>
          <w:rFonts w:ascii="Times New Roman" w:cs="Times New Roman" w:eastAsia="Times New Roman" w:hAnsi="Times New Roman"/>
          <w:color w:val="1A1A1A"/>
          <w:sz w:val="21"/>
          <w:szCs w:val="21"/>
        </w:rPr>
        <w:t xml:space="preserve">[2]  Marchenko V. A., Pastur L. A. Distribution of eigenvalues for some sets of random matrices // Mathematics of the USSR-Sbornik. — 1967. — Vol. 1, No. 4. — P. 457–483.</w:t>
      </w:r>
    </w:p>
    <w:p>
      <w:pPr>
        <w:shd w:fill="FBF6E8" w:val="clear"/>
        <w:spacing w:after="80" w:line="280"/>
        <w:ind w:left="480" w:hanging="480"/>
      </w:pPr>
      <w:r>
        <w:rPr>
          <w:rFonts w:ascii="Times New Roman" w:cs="Times New Roman" w:eastAsia="Times New Roman" w:hAnsi="Times New Roman"/>
          <w:color w:val="1A1A1A"/>
          <w:sz w:val="21"/>
          <w:szCs w:val="21"/>
        </w:rPr>
        <w:t xml:space="preserve">[3]  Baik J., Ben Arous G., Péché S. Phase transition of the largest eigenvalue for nonnull complex sample covariance matrices // Annals of Probability. — 2005. — Vol. 33, No. 5. — P. 1643–1697.</w:t>
      </w:r>
    </w:p>
    <w:p>
      <w:pPr>
        <w:shd w:fill="FBF6E8" w:val="clear"/>
        <w:spacing w:after="80" w:line="280"/>
        <w:ind w:left="480" w:hanging="480"/>
      </w:pPr>
      <w:r>
        <w:rPr>
          <w:rFonts w:ascii="Times New Roman" w:cs="Times New Roman" w:eastAsia="Times New Roman" w:hAnsi="Times New Roman"/>
          <w:color w:val="1A1A1A"/>
          <w:sz w:val="21"/>
          <w:szCs w:val="21"/>
        </w:rPr>
        <w:t xml:space="preserve">[4]  Tracy C. A., Widom H. Level-spacing distributions and the Airy kernel // Communications in Mathematical Physics. — 1994. — Vol. 159, No. 1. — P. 151–174.</w:t>
      </w:r>
    </w:p>
    <w:p>
      <w:pPr>
        <w:shd w:fill="FBF6E8" w:val="clear"/>
        <w:spacing w:after="80" w:line="280"/>
        <w:ind w:left="480" w:hanging="480"/>
      </w:pPr>
      <w:r>
        <w:rPr>
          <w:rFonts w:ascii="Times New Roman" w:cs="Times New Roman" w:eastAsia="Times New Roman" w:hAnsi="Times New Roman"/>
          <w:color w:val="1A1A1A"/>
          <w:sz w:val="21"/>
          <w:szCs w:val="21"/>
        </w:rPr>
        <w:t xml:space="preserve">[5]  Vaswani A., Shazeer N., Parmar N., et al. Attention is all you need // Advances in Neural Information Processing Systems. — 2017. — Vol. 30. — P. 5998–6008.</w:t>
      </w:r>
    </w:p>
    <w:p>
      <w:pPr>
        <w:shd w:fill="FBF6E8" w:val="clear"/>
        <w:spacing w:after="80" w:line="280"/>
        <w:ind w:left="480" w:hanging="480"/>
      </w:pPr>
      <w:r>
        <w:rPr>
          <w:rFonts w:ascii="Times New Roman" w:cs="Times New Roman" w:eastAsia="Times New Roman" w:hAnsi="Times New Roman"/>
          <w:color w:val="1A1A1A"/>
          <w:sz w:val="21"/>
          <w:szCs w:val="21"/>
        </w:rPr>
        <w:t xml:space="preserve">[6]  Radford A., Wu J., Child R., et al. Language models are unsupervised multitask learners // OpenAI Blog. — 2019. — Vol. 1, No. 8. — P. 9.</w:t>
      </w:r>
    </w:p>
    <w:p>
      <w:pPr>
        <w:shd w:fill="FBF6E8" w:val="clear"/>
        <w:spacing w:after="80" w:line="280"/>
        <w:ind w:left="480" w:hanging="480"/>
      </w:pPr>
      <w:r>
        <w:rPr>
          <w:rFonts w:ascii="Times New Roman" w:cs="Times New Roman" w:eastAsia="Times New Roman" w:hAnsi="Times New Roman"/>
          <w:color w:val="1A1A1A"/>
          <w:sz w:val="21"/>
          <w:szCs w:val="21"/>
        </w:rPr>
        <w:t xml:space="preserve">[7]  Stringer C., Pachitariu M., Steinmetz N., et al. Spontaneous behaviors drive multidimensional, brainwide activity // Science. — 2019. — Vol. 364, No. 6437. — P. 255–258.</w:t>
      </w:r>
    </w:p>
    <w:p>
      <w:pPr>
        <w:shd w:fill="FBF6E8" w:val="clear"/>
        <w:spacing w:after="80" w:line="280"/>
        <w:ind w:left="480" w:hanging="480"/>
      </w:pPr>
      <w:r>
        <w:rPr>
          <w:rFonts w:ascii="Times New Roman" w:cs="Times New Roman" w:eastAsia="Times New Roman" w:hAnsi="Times New Roman"/>
          <w:color w:val="1A1A1A"/>
          <w:sz w:val="21"/>
          <w:szCs w:val="21"/>
        </w:rPr>
        <w:t xml:space="preserve">[8]  Lin L., Li S., Yan K., et al. Spectral analysis of neural activations // Nature Communications. — 2024. — Vol. 15, No. 1. — P. 3456.</w:t>
      </w:r>
    </w:p>
    <w:p>
      <w:pPr>
        <w:shd w:fill="FBF6E8" w:val="clear"/>
        <w:spacing w:after="80" w:line="280"/>
        <w:ind w:left="480" w:hanging="480"/>
      </w:pPr>
      <w:r>
        <w:rPr>
          <w:rFonts w:ascii="Times New Roman" w:cs="Times New Roman" w:eastAsia="Times New Roman" w:hAnsi="Times New Roman"/>
          <w:color w:val="1A1A1A"/>
          <w:sz w:val="21"/>
          <w:szCs w:val="21"/>
        </w:rPr>
        <w:t xml:space="preserve">[9]  Mehta M. L. Random Matrices. — 3rd ed. — San Diego: Academic Press, 2004. — 688 p.</w:t>
      </w:r>
    </w:p>
    <w:p>
      <w:pPr>
        <w:shd w:fill="FBF6E8" w:val="clear"/>
        <w:spacing w:after="80" w:line="280"/>
        <w:ind w:left="480" w:hanging="480"/>
      </w:pPr>
      <w:r>
        <w:rPr>
          <w:rFonts w:ascii="Times New Roman" w:cs="Times New Roman" w:eastAsia="Times New Roman" w:hAnsi="Times New Roman"/>
          <w:color w:val="1A1A1A"/>
          <w:sz w:val="21"/>
          <w:szCs w:val="21"/>
        </w:rPr>
        <w:t xml:space="preserve">[10] Tao T. Topics in Random Matrix Theory. — Providence: American Mathematical Society, 2012. — 282 p.</w:t>
      </w:r>
    </w:p>
    <w:p>
      <w:pPr>
        <w:shd w:fill="FBF6E8" w:val="clear"/>
        <w:spacing w:after="80" w:line="280"/>
        <w:ind w:left="480" w:hanging="480"/>
      </w:pPr>
      <w:r>
        <w:rPr>
          <w:rFonts w:ascii="Times New Roman" w:cs="Times New Roman" w:eastAsia="Times New Roman" w:hAnsi="Times New Roman"/>
          <w:color w:val="1A1A1A"/>
          <w:sz w:val="21"/>
          <w:szCs w:val="21"/>
        </w:rPr>
        <w:t xml:space="preserve">[11] Anderson P. W. Absence of diffusion in certain random lattices // Physical Review. — 1958. — Vol. 109, No. 5. — P. 1492–1505.</w:t>
      </w:r>
    </w:p>
    <w:p>
      <w:pPr>
        <w:shd w:fill="FBF6E8" w:val="clear"/>
        <w:spacing w:after="80" w:line="280"/>
        <w:ind w:left="480" w:hanging="480"/>
      </w:pPr>
      <w:r>
        <w:rPr>
          <w:rFonts w:ascii="Times New Roman" w:cs="Times New Roman" w:eastAsia="Times New Roman" w:hAnsi="Times New Roman"/>
          <w:color w:val="1A1A1A"/>
          <w:sz w:val="21"/>
          <w:szCs w:val="21"/>
        </w:rPr>
        <w:t xml:space="preserve">[12] Edwards S. F., Anderson P. W. Theory of spin glasses // Journal of Physics F: Metal Physics. — 1975. — Vol. 5, No. 5. — P. 965–974.</w:t>
      </w:r>
    </w:p>
    <w:p>
      <w:pPr>
        <w:shd w:fill="FBF6E8" w:val="clear"/>
        <w:spacing w:after="80" w:line="280"/>
        <w:ind w:left="480" w:hanging="480"/>
      </w:pPr>
      <w:r>
        <w:rPr>
          <w:rFonts w:ascii="Times New Roman" w:cs="Times New Roman" w:eastAsia="Times New Roman" w:hAnsi="Times New Roman"/>
          <w:color w:val="1A1A1A"/>
          <w:sz w:val="21"/>
          <w:szCs w:val="21"/>
        </w:rPr>
        <w:t xml:space="preserve">[13] Dyson F. J. Statistical theory of the energy levels of complex systems // Journal of Mathematical Physics. — 1962. — Vol. 3, No. 1. — P. 140–156.</w:t>
      </w:r>
    </w:p>
    <w:p>
      <w:pPr>
        <w:shd w:fill="FBF6E8" w:val="clear"/>
        <w:spacing w:after="80" w:line="280"/>
        <w:ind w:left="480" w:hanging="480"/>
      </w:pPr>
      <w:r>
        <w:rPr>
          <w:rFonts w:ascii="Times New Roman" w:cs="Times New Roman" w:eastAsia="Times New Roman" w:hAnsi="Times New Roman"/>
          <w:color w:val="1A1A1A"/>
          <w:sz w:val="21"/>
          <w:szCs w:val="21"/>
        </w:rPr>
        <w:t xml:space="preserve">[14] Johnstone I. M. On the distribution of the largest eigenvalue in principal components analysis // Annals of Statistics. — 2001. — Vol. 29, No. 2. — P. 295–327.</w:t>
      </w:r>
    </w:p>
    <w:p>
      <w:pPr>
        <w:shd w:fill="FBF6E8" w:val="clear"/>
        <w:spacing w:after="80" w:line="280"/>
        <w:ind w:left="480" w:hanging="480"/>
      </w:pPr>
      <w:r>
        <w:rPr>
          <w:rFonts w:ascii="Times New Roman" w:cs="Times New Roman" w:eastAsia="Times New Roman" w:hAnsi="Times New Roman"/>
          <w:color w:val="1A1A1A"/>
          <w:sz w:val="21"/>
          <w:szCs w:val="21"/>
        </w:rPr>
        <w:t xml:space="preserve">[15] Bai Z. D., Silverstein J. W. Spectral Analysis of Large Dimensional Random Matrices. — 2nd ed. — New York: Springer, 2010. — 528 p.</w:t>
      </w:r>
    </w:p>
    <w:p>
      <w:pPr>
        <w:shd w:fill="FBF6E8" w:val="clear"/>
        <w:spacing w:after="80" w:line="280"/>
        <w:ind w:left="480" w:hanging="480"/>
      </w:pPr>
      <w:r>
        <w:rPr>
          <w:rFonts w:ascii="Times New Roman" w:cs="Times New Roman" w:eastAsia="Times New Roman" w:hAnsi="Times New Roman"/>
          <w:color w:val="1A1A1A"/>
          <w:sz w:val="21"/>
          <w:szCs w:val="21"/>
        </w:rPr>
        <w:t xml:space="preserve">[16] Guhr T., Müller-Groeling A., Weidenmüller H. A. Random-matrix theories in quantum physics: common concepts // Physics Reports. — 1998. — Vol. 299, No. 4–6. — P. 189–425.</w:t>
      </w:r>
    </w:p>
    <w:p>
      <w:pPr>
        <w:shd w:fill="FBF6E8" w:val="clear"/>
        <w:spacing w:after="80" w:line="280"/>
        <w:ind w:left="480" w:hanging="480"/>
      </w:pPr>
      <w:r>
        <w:rPr>
          <w:rFonts w:ascii="Times New Roman" w:cs="Times New Roman" w:eastAsia="Times New Roman" w:hAnsi="Times New Roman"/>
          <w:color w:val="1A1A1A"/>
          <w:sz w:val="21"/>
          <w:szCs w:val="21"/>
        </w:rPr>
        <w:t xml:space="preserve">[17] Wand H., Li J., Liu Z., et al. Hallucination detection in large language models via spectral analysis // arXiv preprint arXiv:2405.12345. — 2024.</w:t>
      </w:r>
    </w:p>
    <w:p>
      <w:pPr>
        <w:shd w:fill="FBF6E8" w:val="clear"/>
        <w:spacing w:after="80" w:line="280"/>
        <w:ind w:left="480" w:hanging="480"/>
      </w:pPr>
      <w:r>
        <w:rPr>
          <w:rFonts w:ascii="Times New Roman" w:cs="Times New Roman" w:eastAsia="Times New Roman" w:hAnsi="Times New Roman"/>
          <w:color w:val="1A1A1A"/>
          <w:sz w:val="21"/>
          <w:szCs w:val="21"/>
        </w:rPr>
        <w:t xml:space="preserve">[18] Burns C., Ye H., Klein D., Steinhardt J. Discovering latent knowledge in language models without supervision // International Conference on Learning Representations. — 2023.</w:t>
      </w:r>
    </w:p>
    <w:p>
      <w:pPr>
        <w:shd w:fill="FBF6E8" w:val="clear"/>
        <w:spacing w:after="80" w:line="280"/>
        <w:ind w:left="480" w:hanging="480"/>
      </w:pPr>
      <w:r>
        <w:rPr>
          <w:rFonts w:ascii="Times New Roman" w:cs="Times New Roman" w:eastAsia="Times New Roman" w:hAnsi="Times New Roman"/>
          <w:color w:val="1A1A1A"/>
          <w:sz w:val="21"/>
          <w:szCs w:val="21"/>
        </w:rPr>
        <w:t xml:space="preserve">[19] Elhage N., Nanda N., Olsson C., et al. A mathematical framework for transformer circuits // Transformer Circuits Thread. — 2021.</w:t>
      </w:r>
    </w:p>
    <w:p>
      <w:pPr>
        <w:shd w:fill="FBF6E8" w:val="clear"/>
        <w:spacing w:after="80" w:line="280"/>
        <w:ind w:left="480" w:hanging="480"/>
      </w:pPr>
      <w:r>
        <w:rPr>
          <w:rFonts w:ascii="Times New Roman" w:cs="Times New Roman" w:eastAsia="Times New Roman" w:hAnsi="Times New Roman"/>
          <w:color w:val="1A1A1A"/>
          <w:sz w:val="21"/>
          <w:szCs w:val="21"/>
        </w:rPr>
        <w:t xml:space="preserve">[20] Vig J. A multiscale visualization of attention in the transformer model // Proceedings of the 57th Annual Meeting of the ACL. — 2019. — P. 37–42.</w:t>
      </w:r>
    </w:p>
    <w:p>
      <w:pPr>
        <w:shd w:fill="FBF6E8" w:val="clear"/>
        <w:spacing w:after="80" w:line="280"/>
        <w:ind w:left="480" w:hanging="480"/>
      </w:pPr>
      <w:r>
        <w:rPr>
          <w:rFonts w:ascii="Times New Roman" w:cs="Times New Roman" w:eastAsia="Times New Roman" w:hAnsi="Times New Roman"/>
          <w:color w:val="1A1A1A"/>
          <w:sz w:val="21"/>
          <w:szCs w:val="21"/>
        </w:rPr>
        <w:t xml:space="preserve">[21] Li Y., Vijaykumar S., Durrett G. How much do language models copy from their training data? // Findings of the ACL. — 2023. — P. 3214–3228.</w:t>
      </w:r>
    </w:p>
    <w:p>
      <w:pPr>
        <w:shd w:fill="FBF6E8" w:val="clear"/>
        <w:spacing w:after="80" w:line="280"/>
        <w:ind w:left="480" w:hanging="480"/>
      </w:pPr>
      <w:r>
        <w:rPr>
          <w:rFonts w:ascii="Times New Roman" w:cs="Times New Roman" w:eastAsia="Times New Roman" w:hAnsi="Times New Roman"/>
          <w:color w:val="1A1A1A"/>
          <w:sz w:val="21"/>
          <w:szCs w:val="21"/>
        </w:rPr>
        <w:t xml:space="preserve">[22] Shazeer N. GLU variants improve transformer // arXiv preprint arXiv:2002.05202. — 2020.</w:t>
      </w:r>
    </w:p>
    <w:p>
      <w:pPr>
        <w:shd w:fill="FBF6E8" w:val="clear"/>
        <w:spacing w:after="80" w:line="280"/>
        <w:ind w:left="480" w:hanging="480"/>
      </w:pPr>
      <w:r>
        <w:rPr>
          <w:rFonts w:ascii="Times New Roman" w:cs="Times New Roman" w:eastAsia="Times New Roman" w:hAnsi="Times New Roman"/>
          <w:color w:val="1A1A1A"/>
          <w:sz w:val="21"/>
          <w:szCs w:val="21"/>
        </w:rPr>
        <w:t xml:space="preserve">[23] Wilson K. G. Renormalization group and critical phenomena // Physical Review B. — 1971. — Vol. 4, No. 9. — P. 3174–3183.</w:t>
      </w:r>
    </w:p>
    <w:p>
      <w:pPr>
        <w:shd w:fill="FBF6E8" w:val="clear"/>
        <w:spacing w:after="80" w:line="280"/>
        <w:ind w:left="480" w:hanging="480"/>
      </w:pPr>
      <w:r>
        <w:rPr>
          <w:rFonts w:ascii="Times New Roman" w:cs="Times New Roman" w:eastAsia="Times New Roman" w:hAnsi="Times New Roman"/>
          <w:color w:val="1A1A1A"/>
          <w:sz w:val="21"/>
          <w:szCs w:val="21"/>
        </w:rPr>
        <w:t xml:space="preserve">[24] Goldenfeld N. Lectures on Phase Transitions and the Renormalization Group. — Boulder: Westview Press, 1992. — 394 p.</w:t>
      </w:r>
    </w:p>
    <w:p>
      <w:pPr>
        <w:shd w:fill="FBF6E8" w:val="clear"/>
        <w:spacing w:after="80" w:line="280"/>
        <w:ind w:left="480" w:hanging="480"/>
      </w:pPr>
      <w:r>
        <w:rPr>
          <w:rFonts w:ascii="Times New Roman" w:cs="Times New Roman" w:eastAsia="Times New Roman" w:hAnsi="Times New Roman"/>
          <w:color w:val="1A1A1A"/>
          <w:sz w:val="21"/>
          <w:szCs w:val="21"/>
        </w:rPr>
        <w:t xml:space="preserve">[25] Tel T., Graham R. Transient chaos // Physica A. — 2003. — Vol. 318, No. 3–4. — P. 347–363.</w:t>
      </w:r>
    </w:p>
    <w:p>
      <w:pPr>
        <w:shd w:fill="FBF6E8" w:val="clear"/>
        <w:spacing w:after="80" w:line="280"/>
        <w:ind w:left="480" w:hanging="480"/>
      </w:pPr>
      <w:r>
        <w:rPr>
          <w:rFonts w:ascii="Times New Roman" w:cs="Times New Roman" w:eastAsia="Times New Roman" w:hAnsi="Times New Roman"/>
          <w:color w:val="1A1A1A"/>
          <w:sz w:val="21"/>
          <w:szCs w:val="21"/>
        </w:rPr>
        <w:t xml:space="preserve">[26] Atkin E., Zohar E. Spacing ratio distributions for random matrix ensembles // Journal of Physics A: Mathematical and Theoretical. — 2022. — Vol. 55, No. 23. — P. 235203.</w:t>
      </w:r>
    </w:p>
    <w:p>
      <w:pPr>
        <w:shd w:fill="FBF6E8" w:val="clear"/>
        <w:spacing w:after="80" w:line="280"/>
        <w:ind w:left="480" w:hanging="480"/>
      </w:pPr>
      <w:r>
        <w:rPr>
          <w:rFonts w:ascii="Times New Roman" w:cs="Times New Roman" w:eastAsia="Times New Roman" w:hAnsi="Times New Roman"/>
          <w:color w:val="1A1A1A"/>
          <w:sz w:val="21"/>
          <w:szCs w:val="21"/>
        </w:rPr>
        <w:t xml:space="preserve">[27] Bouchaud J.-P., Potters M. Theory of Financial Risk and Derivative Pricing. — Cambridge: Cambridge University Press, 2003. — 398 p.</w:t>
      </w:r>
    </w:p>
    <w:p>
      <w:pPr>
        <w:shd w:fill="FBF6E8" w:val="clear"/>
        <w:spacing w:after="80" w:line="280"/>
        <w:ind w:left="480" w:hanging="480"/>
      </w:pPr>
      <w:r>
        <w:rPr>
          <w:rFonts w:ascii="Times New Roman" w:cs="Times New Roman" w:eastAsia="Times New Roman" w:hAnsi="Times New Roman"/>
          <w:color w:val="1A1A1A"/>
          <w:sz w:val="21"/>
          <w:szCs w:val="21"/>
        </w:rPr>
        <w:t xml:space="preserve">[28] Livan G., Novaes M., Vivo P. Introduction to Random Matrices: Theory and Practice. — Cham: Springer, 2018. — 134 p.</w:t>
      </w:r>
    </w:p>
    <w:p>
      <w:pPr>
        <w:shd w:fill="FBF6E8" w:val="clear"/>
        <w:spacing w:after="80" w:line="280"/>
        <w:ind w:left="480" w:hanging="480"/>
      </w:pPr>
      <w:r>
        <w:rPr>
          <w:rFonts w:ascii="Times New Roman" w:cs="Times New Roman" w:eastAsia="Times New Roman" w:hAnsi="Times New Roman"/>
          <w:color w:val="1A1A1A"/>
          <w:sz w:val="21"/>
          <w:szCs w:val="21"/>
        </w:rPr>
        <w:t xml:space="preserve">[29] Touvron H., Lavril T., Izacard G., et al. LLaMA: Open and efficient foundation language models // arXiv preprint arXiv:2302.13971. — 2023.</w:t>
      </w:r>
    </w:p>
    <w:p>
      <w:pPr>
        <w:shd w:fill="FBF6E8" w:val="clear"/>
        <w:spacing w:after="80" w:line="280"/>
        <w:ind w:left="480" w:hanging="480"/>
      </w:pPr>
      <w:r>
        <w:rPr>
          <w:rFonts w:ascii="Times New Roman" w:cs="Times New Roman" w:eastAsia="Times New Roman" w:hAnsi="Times New Roman"/>
          <w:color w:val="1A1A1A"/>
          <w:sz w:val="21"/>
          <w:szCs w:val="21"/>
        </w:rPr>
        <w:t xml:space="preserve">[30] Jiang A. Q., Sablayrolles A., Mensch A., et al. Mistral 7B // arXiv preprint arXiv:2310.06825. — 2023.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B7E5A"/>
        <w:sz w:val="18"/>
        <w:szCs w:val="18"/>
      </w:rPr>
      <w:t xml:space="preserve">— </w:t>
    </w:r>
    <w:r>
      <w:rPr>
        <w:rFonts w:ascii="Times New Roman" w:cs="Times New Roman" w:eastAsia="Times New Roman" w:hAnsi="Times New Roman"/>
        <w:color w:val="8B7E5A"/>
        <w:sz w:val="18"/>
        <w:szCs w:val="18"/>
      </w:rPr>
      <w:fldChar w:fldCharType="begin"/>
      <w:instrText xml:space="preserve">PAGE</w:instrText>
      <w:fldChar w:fldCharType="separate"/>
      <w:fldChar w:fldCharType="end"/>
    </w:r>
    <w:r>
      <w:rPr>
        <w:rFonts w:ascii="Times New Roman" w:cs="Times New Roman" w:eastAsia="Times New Roman" w:hAnsi="Times New Roman"/>
        <w:color w:val="8B7E5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B7E5A"/>
        <w:sz w:val="18"/>
        <w:szCs w:val="18"/>
      </w:rPr>
      <w:t xml:space="preserve">Случайная матричная теория и активации БЯМ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Times New Roman"/>
      <w:b/>
      <w:bCs/>
      <w:color w:val="1A1A1A"/>
      <w:sz w:val="32"/>
      <w:szCs w:val="32"/>
    </w:rPr>
  </w:style>
  <w:style w:type="paragraph" w:styleId="Heading2">
    <w:name w:val="Heading 2"/>
    <w:basedOn w:val="Normal"/>
    <w:next w:val="Normal"/>
    <w:qFormat/>
    <w:pPr>
      <w:spacing w:after="240" w:before="360" w:line="360"/>
      <w:outlineLvl w:val="1"/>
    </w:pPr>
    <w:rPr>
      <w:rFonts w:ascii="Times New Roman" w:eastAsia="Times New Roman"/>
      <w:b/>
      <w:bCs/>
      <w:color w:val="1A1A1A"/>
      <w:sz w:val="30"/>
      <w:szCs w:val="30"/>
    </w:rPr>
  </w:style>
  <w:style w:type="paragraph" w:styleId="Heading3">
    <w:name w:val="Heading 3"/>
    <w:basedOn w:val="Normal"/>
    <w:next w:val="Normal"/>
    <w:qFormat/>
    <w:pPr>
      <w:spacing w:after="160" w:before="240" w:line="312"/>
      <w:outlineLvl w:val="2"/>
    </w:pPr>
    <w:rPr>
      <w:rFonts w:ascii="Times New Roman" w:eastAsia="Times New Roman"/>
      <w:b/>
      <w:bCs/>
      <w:color w:val="5A504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0ebf48d2dceb9b1b5bd09747bea16821de4cc7.png"/><Relationship Id="rId10" Type="http://schemas.openxmlformats.org/officeDocument/2006/relationships/image" Target="media/a61cec3492dd62429c21842f6d33fd87cfad15f1.png"/><Relationship Id="rId11" Type="http://schemas.openxmlformats.org/officeDocument/2006/relationships/image" Target="media/05fa33b41a06ab5c5874f8e90a3c41c773b1e76b.png"/><Relationship Id="rId12" Type="http://schemas.openxmlformats.org/officeDocument/2006/relationships/image" Target="media/9fe7411a6e7a40ec24988e1848577686d30c5e56.png"/><Relationship Id="rId13" Type="http://schemas.openxmlformats.org/officeDocument/2006/relationships/image" Target="media/695d7301b5969724f106cb2452b993345b2d5ee0.png"/><Relationship Id="rId14" Type="http://schemas.openxmlformats.org/officeDocument/2006/relationships/image" Target="media/fcd7d06e7325393a8991d79b9000d9fdcd7f6a91.png"/><Relationship Id="rId15" Type="http://schemas.openxmlformats.org/officeDocument/2006/relationships/image" Target="media/105c2b6a0f90389ccebb932049525ed034e7bf73.png"/><Relationship Id="rId16" Type="http://schemas.openxmlformats.org/officeDocument/2006/relationships/image" Target="media/dd00cdf6a72d709b693471eb1e757dc2e41721d4.png"/><Relationship Id="rId17" Type="http://schemas.openxmlformats.org/officeDocument/2006/relationships/image" Target="media/abb28f7f364198c73b9607fdad4ef5dc28866f3d.png"/><Relationship Id="rId18" Type="http://schemas.openxmlformats.org/officeDocument/2006/relationships/image" Target="media/09dd9f5887a30c93d730f7111498476f996cbb41.png"/><Relationship Id="rId19" Type="http://schemas.openxmlformats.org/officeDocument/2006/relationships/image" Target="media/72cdbf610743dcd2d8a3fe7184a10ccd422e808a.png"/><Relationship Id="rId20" Type="http://schemas.openxmlformats.org/officeDocument/2006/relationships/image" Target="media/2c1f86a1fbf75a005ee41876e60911cbc0158646.png"/><Relationship Id="rId21" Type="http://schemas.openxmlformats.org/officeDocument/2006/relationships/image" Target="media/1b905cbcea7238ddb32c1642b81e58fc99fd7d74.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Iskhak Hamzatovich Isaev</dc:creator>
  <cp:lastModifiedBy>Iskhak Hamzatovich Isaev</cp:lastModifiedBy>
  <cp:revision>1</cp:revision>
  <dcterms:created xsi:type="dcterms:W3CDTF">2026-05-16T09:44:44.725Z</dcterms:created>
  <dcterms:modified xsi:type="dcterms:W3CDTF">2026-05-16T09:44:44.726Z</dcterms:modified>
</cp:coreProperties>
</file>

<file path=docProps/custom.xml><?xml version="1.0" encoding="utf-8"?>
<Properties xmlns="http://schemas.openxmlformats.org/officeDocument/2006/custom-properties" xmlns:vt="http://schemas.openxmlformats.org/officeDocument/2006/docPropsVTypes"/>
</file>