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60" w:before="0"/>
        <w:jc w:val="center"/>
      </w:pPr>
      <w:r>
        <w:rPr>
          <w:rFonts w:ascii="Arial" w:cs="Arial" w:eastAsia="Arial" w:hAnsi="Arial"/>
          <w:b/>
          <w:bCs/>
          <w:i w:val="false"/>
          <w:iCs w:val="false"/>
          <w:color w:val="C00000"/>
          <w:sz w:val="18"/>
          <w:szCs w:val="18"/>
        </w:rPr>
        <w:t xml:space="preserve">PREPRINT — NOT PEER REVIEWED</w:t>
      </w:r>
    </w:p>
    <w:p>
      <w:pPr>
        <w:pBdr>
          <w:bottom w:val="single" w:color="2E75B6" w:sz="12"/>
        </w:pBdr>
        <w:spacing w:after="80" w:before="120"/>
        <w:jc w:val="center"/>
      </w:pPr>
      <w:r>
        <w:rPr>
          <w:rFonts w:ascii="Arial" w:cs="Arial" w:eastAsia="Arial" w:hAnsi="Arial"/>
          <w:b w:val="false"/>
          <w:bCs w:val="false"/>
          <w:i w:val="false"/>
          <w:iCs w:val="false"/>
          <w:color w:val="222222"/>
          <w:sz w:val="4"/>
          <w:szCs w:val="4"/>
        </w:rPr>
        <w:t xml:space="preserve"/>
      </w:r>
    </w:p>
    <w:p>
      <w:pPr>
        <w:spacing w:after="80" w:before="200"/>
        <w:jc w:val="center"/>
      </w:pPr>
      <w:r>
        <w:rPr>
          <w:rFonts w:ascii="Arial" w:cs="Arial" w:eastAsia="Arial" w:hAnsi="Arial"/>
          <w:b/>
          <w:bCs/>
          <w:i w:val="false"/>
          <w:iCs w:val="false"/>
          <w:color w:val="1F3864"/>
          <w:sz w:val="56"/>
          <w:szCs w:val="56"/>
        </w:rPr>
        <w:t xml:space="preserve">Spectral Statistics of LLM Activation Matrices:</w:t>
      </w:r>
    </w:p>
    <w:p>
      <w:pPr>
        <w:spacing w:after="400" w:before="0"/>
        <w:jc w:val="center"/>
      </w:pPr>
      <w:r>
        <w:rPr>
          <w:rFonts w:ascii="Arial" w:cs="Arial" w:eastAsia="Arial" w:hAnsi="Arial"/>
          <w:b w:val="false"/>
          <w:bCs w:val="false"/>
          <w:i w:val="false"/>
          <w:iCs w:val="false"/>
          <w:color w:val="2E75B6"/>
          <w:sz w:val="36"/>
          <w:szCs w:val="36"/>
        </w:rPr>
        <w:t xml:space="preserve">A Random Matrix Theory Approach to Cognitive Mode Detection</w:t>
      </w:r>
    </w:p>
    <w:p>
      <w:pPr>
        <w:spacing w:after="80" w:before="0"/>
        <w:jc w:val="center"/>
      </w:pPr>
      <w:r>
        <w:rPr>
          <w:rFonts w:ascii="Arial" w:cs="Arial" w:eastAsia="Arial" w:hAnsi="Arial"/>
          <w:b w:val="false"/>
          <w:bCs w:val="false"/>
          <w:i/>
          <w:iCs/>
          <w:color w:val="555555"/>
          <w:sz w:val="26"/>
          <w:szCs w:val="26"/>
        </w:rPr>
        <w:t xml:space="preserve">Pilot Study — Simulation + Real GPT-2 Verification</w:t>
      </w:r>
    </w:p>
    <w:p>
      <w:pPr>
        <w:spacing w:after="400" w:before="0"/>
      </w:pPr>
      <w:r>
        <w:t xml:space="preserve"/>
      </w:r>
    </w:p>
    <w:p>
      <w:pPr>
        <w:shd w:fill="EBF3FB" w:val="clear"/>
        <w:spacing w:after="80" w:before="80"/>
        <w:jc w:val="center"/>
      </w:pPr>
      <w:r>
        <w:rPr>
          <w:rFonts w:ascii="Arial" w:cs="Arial" w:eastAsia="Arial" w:hAnsi="Arial"/>
          <w:b w:val="false"/>
          <w:bCs w:val="false"/>
          <w:i w:val="false"/>
          <w:iCs w:val="false"/>
          <w:color w:val="1F3864"/>
          <w:sz w:val="20"/>
          <w:szCs w:val="20"/>
        </w:rPr>
        <w:t xml:space="preserve">Model: GPT-2 small (117M) · N_HIDDEN=768 · T_SEQ=52 · 12 layers · Factual vs Creative prompts</w:t>
      </w:r>
    </w:p>
    <w:p>
      <w:pPr>
        <w:spacing w:after="120" w:before="0"/>
      </w:pPr>
      <w:r>
        <w:t xml:space="preserve"/>
      </w:r>
    </w:p>
    <w:p>
      <w:pPr>
        <w:spacing w:after="60" w:before="0"/>
        <w:jc w:val="center"/>
      </w:pPr>
      <w:r>
        <w:rPr>
          <w:rFonts w:ascii="Arial" w:cs="Arial" w:eastAsia="Arial" w:hAnsi="Arial"/>
          <w:b w:val="false"/>
          <w:bCs w:val="false"/>
          <w:i w:val="false"/>
          <w:iCs w:val="false"/>
          <w:color w:val="888888"/>
          <w:sz w:val="22"/>
          <w:szCs w:val="22"/>
        </w:rPr>
        <w:t xml:space="preserve">2025</w:t>
      </w:r>
    </w:p>
    <w:p>
      <w:r>
        <w:br w:type="page"/>
      </w:r>
    </w:p>
    <w:p>
      <w:pPr>
        <w:pStyle w:val="Heading1"/>
        <w:spacing w:after="120" w:before="360"/>
      </w:pPr>
      <w:r>
        <w:rPr>
          <w:rFonts w:ascii="Arial" w:cs="Arial" w:eastAsia="Arial" w:hAnsi="Arial"/>
          <w:b/>
          <w:bCs/>
          <w:color w:val="1F3864"/>
          <w:sz w:val="36"/>
          <w:szCs w:val="36"/>
        </w:rPr>
        <w:t xml:space="preserve">Abstract</w:t>
      </w:r>
    </w:p>
    <w:p>
      <w:pPr>
        <w:pBdr>
          <w:bottom w:val="single" w:color="2E75B6" w:sz="6" w:space="1"/>
        </w:pBdr>
        <w:spacing w:after="80" w:before="0"/>
      </w:pPr>
      <w:r>
        <w:t xml:space="preserve"/>
      </w:r>
    </w:p>
    <w:p>
      <w:pPr>
        <w:shd w:fill="EBF3FB" w:val="clear"/>
        <w:spacing w:after="80" w:before="80"/>
        <w:ind w:left="360" w:right="360"/>
        <w:jc w:val="both"/>
      </w:pPr>
      <w:r>
        <w:rPr>
          <w:rFonts w:ascii="Arial" w:cs="Arial" w:eastAsia="Arial" w:hAnsi="Arial"/>
          <w:b w:val="false"/>
          <w:bCs w:val="false"/>
          <w:i w:val="false"/>
          <w:iCs w:val="false"/>
          <w:color w:val="222222"/>
          <w:sz w:val="22"/>
          <w:szCs w:val="22"/>
        </w:rPr>
        <w:t xml:space="preserve">We investigate whether the spectral properties of </w:t>
      </w:r>
      <w:r>
        <w:rPr>
          <w:rFonts w:ascii="Arial" w:cs="Arial" w:eastAsia="Arial" w:hAnsi="Arial"/>
          <w:b/>
          <w:bCs/>
          <w:i w:val="false"/>
          <w:iCs w:val="false"/>
          <w:color w:val="222222"/>
          <w:sz w:val="22"/>
          <w:szCs w:val="22"/>
        </w:rPr>
        <w:t xml:space="preserve">activation covariance matrices</w:t>
      </w:r>
      <w:r>
        <w:rPr>
          <w:rFonts w:ascii="Arial" w:cs="Arial" w:eastAsia="Arial" w:hAnsi="Arial"/>
          <w:b w:val="false"/>
          <w:bCs w:val="false"/>
          <w:i w:val="false"/>
          <w:iCs w:val="false"/>
          <w:color w:val="222222"/>
          <w:sz w:val="22"/>
          <w:szCs w:val="22"/>
        </w:rPr>
        <w:t xml:space="preserve"> M = Xⁿᵀ Xⁿ / T computed from the residual stream of large language models (LLMs) reflect the </w:t>
      </w:r>
      <w:r>
        <w:rPr>
          <w:rFonts w:ascii="Arial" w:cs="Arial" w:eastAsia="Arial" w:hAnsi="Arial"/>
          <w:b w:val="false"/>
          <w:bCs w:val="false"/>
          <w:i/>
          <w:iCs/>
          <w:color w:val="222222"/>
          <w:sz w:val="22"/>
          <w:szCs w:val="22"/>
        </w:rPr>
        <w:t xml:space="preserve">cognitive mode</w:t>
      </w:r>
      <w:r>
        <w:rPr>
          <w:rFonts w:ascii="Arial" w:cs="Arial" w:eastAsia="Arial" w:hAnsi="Arial"/>
          <w:b w:val="false"/>
          <w:bCs w:val="false"/>
          <w:i w:val="false"/>
          <w:iCs w:val="false"/>
          <w:color w:val="222222"/>
          <w:sz w:val="22"/>
          <w:szCs w:val="22"/>
        </w:rPr>
        <w:t xml:space="preserve"> of the input prompt. Grounding our analysis in Random Matrix Theory (RMT) — specifically the Marchenko-Pastur distribution, the Baik-Ben Arous-Péché (BBP) transition, and spectral form factor theory — we propose three quantitative metrics: </w:t>
      </w:r>
      <w:r>
        <w:rPr>
          <w:rFonts w:ascii="Arial" w:cs="Arial" w:eastAsia="Arial" w:hAnsi="Arial"/>
          <w:b/>
          <w:bCs/>
          <w:i w:val="false"/>
          <w:iCs w:val="false"/>
          <w:color w:val="222222"/>
          <w:sz w:val="22"/>
          <w:szCs w:val="22"/>
        </w:rPr>
        <w:t xml:space="preserve">Participation Ratio (PR)</w:t>
      </w:r>
      <w:r>
        <w:rPr>
          <w:rFonts w:ascii="Arial" w:cs="Arial" w:eastAsia="Arial" w:hAnsi="Arial"/>
          <w:b w:val="false"/>
          <w:bCs w:val="false"/>
          <w:i w:val="false"/>
          <w:iCs w:val="false"/>
          <w:color w:val="222222"/>
          <w:sz w:val="22"/>
          <w:szCs w:val="22"/>
        </w:rPr>
        <w:t xml:space="preserve">, </w:t>
      </w:r>
      <w:r>
        <w:rPr>
          <w:rFonts w:ascii="Arial" w:cs="Arial" w:eastAsia="Arial" w:hAnsi="Arial"/>
          <w:b/>
          <w:bCs/>
          <w:i w:val="false"/>
          <w:iCs w:val="false"/>
          <w:color w:val="222222"/>
          <w:sz w:val="22"/>
          <w:szCs w:val="22"/>
        </w:rPr>
        <w:t xml:space="preserve">spectral entropy S_spec</w:t>
      </w:r>
      <w:r>
        <w:rPr>
          <w:rFonts w:ascii="Arial" w:cs="Arial" w:eastAsia="Arial" w:hAnsi="Arial"/>
          <w:b w:val="false"/>
          <w:bCs w:val="false"/>
          <w:i w:val="false"/>
          <w:iCs w:val="false"/>
          <w:color w:val="222222"/>
          <w:sz w:val="22"/>
          <w:szCs w:val="22"/>
        </w:rPr>
        <w:t xml:space="preserve">, and </w:t>
      </w:r>
      <w:r>
        <w:rPr>
          <w:rFonts w:ascii="Arial" w:cs="Arial" w:eastAsia="Arial" w:hAnsi="Arial"/>
          <w:b/>
          <w:bCs/>
          <w:i w:val="false"/>
          <w:iCs w:val="false"/>
          <w:color w:val="222222"/>
          <w:sz w:val="22"/>
          <w:szCs w:val="22"/>
        </w:rPr>
        <w:t xml:space="preserve">free energy F = λmax − S_spec</w:t>
      </w:r>
      <w:r>
        <w:rPr>
          <w:rFonts w:ascii="Arial" w:cs="Arial" w:eastAsia="Arial" w:hAnsi="Arial"/>
          <w:b w:val="false"/>
          <w:bCs w:val="false"/>
          <w:i w:val="false"/>
          <w:iCs w:val="false"/>
          <w:color w:val="222222"/>
          <w:sz w:val="22"/>
          <w:szCs w:val="22"/>
        </w:rPr>
        <w:t xml:space="preserve">. Simulation at N=768, T=50 predicts ΔPR ≈ +39.6 (creative &gt; factual), ΔS ≈ +1.32, and a clear BBP spike for factual prompts (λmax/λ⁺ ≈ 2.8). </w:t>
      </w:r>
      <w:r>
        <w:rPr>
          <w:rFonts w:ascii="Arial" w:cs="Arial" w:eastAsia="Arial" w:hAnsi="Arial"/>
          <w:b w:val="false"/>
          <w:bCs w:val="false"/>
          <w:i w:val="false"/>
          <w:iCs w:val="false"/>
          <w:color w:val="222222"/>
          <w:sz w:val="22"/>
          <w:szCs w:val="22"/>
        </w:rPr>
        <w:t xml:space="preserve">Real GPT-2 experiments at T=52 partially refute the simulation: ΔPR ≈ −1.6 (factual &gt; creative), no BBP spike in either class (λmax/λ⁺ &lt; 1), but ΔS direction is confirmed and </w:t>
      </w:r>
      <w:r>
        <w:rPr>
          <w:rFonts w:ascii="Arial" w:cs="Arial" w:eastAsia="Arial" w:hAnsi="Arial"/>
          <w:b/>
          <w:bCs/>
          <w:i w:val="false"/>
          <w:iCs w:val="false"/>
          <w:color w:val="222222"/>
          <w:sz w:val="22"/>
          <w:szCs w:val="22"/>
        </w:rPr>
        <w:t xml:space="preserve">&lt;r&gt; = 0.530 ≈ GOE (0.531)</w:t>
      </w:r>
      <w:r>
        <w:rPr>
          <w:rFonts w:ascii="Arial" w:cs="Arial" w:eastAsia="Arial" w:hAnsi="Arial"/>
          <w:b w:val="false"/>
          <w:bCs w:val="false"/>
          <w:i w:val="false"/>
          <w:iCs w:val="false"/>
          <w:color w:val="222222"/>
          <w:sz w:val="22"/>
          <w:szCs w:val="22"/>
        </w:rPr>
        <w:t xml:space="preserve"> with exceptional precision. We provide a complete Google Colab codebase for replication across GPT-2 (117M–1.5B), Pythia, and LLaMA-2 model families, and propose a revised hypothesis accounting for the empirical findings.</w:t>
      </w:r>
    </w:p>
    <w:p>
      <w:pPr>
        <w:spacing w:after="80" w:before="0"/>
      </w:pPr>
      <w:r>
        <w:t xml:space="preserve"/>
      </w:r>
    </w:p>
    <w:p>
      <w:pPr>
        <w:pStyle w:val="Heading1"/>
        <w:spacing w:after="120" w:before="360"/>
      </w:pPr>
      <w:r>
        <w:rPr>
          <w:rFonts w:ascii="Arial" w:cs="Arial" w:eastAsia="Arial" w:hAnsi="Arial"/>
          <w:b/>
          <w:bCs/>
          <w:color w:val="1F3864"/>
          <w:sz w:val="36"/>
          <w:szCs w:val="36"/>
        </w:rPr>
        <w:t xml:space="preserve">1. Introduction and Motivation</w:t>
      </w:r>
    </w:p>
    <w:p>
      <w:pPr>
        <w:pBdr>
          <w:bottom w:val="single" w:color="2E75B6" w:sz="6" w:space="1"/>
        </w:pBdr>
        <w:spacing w:after="80" w:before="0"/>
      </w:pPr>
      <w:r>
        <w:t xml:space="preserve"/>
      </w:r>
    </w:p>
    <w:p>
      <w:pPr>
        <w:pStyle w:val="Heading2"/>
        <w:spacing w:after="100" w:before="280"/>
      </w:pPr>
      <w:r>
        <w:rPr>
          <w:rFonts w:ascii="Arial" w:cs="Arial" w:eastAsia="Arial" w:hAnsi="Arial"/>
          <w:b/>
          <w:bCs/>
          <w:color w:val="2E75B6"/>
          <w:sz w:val="28"/>
          <w:szCs w:val="28"/>
        </w:rPr>
        <w:t xml:space="preserve">1.1 The Interpretability Gap</w:t>
      </w:r>
    </w:p>
    <w:p>
      <w:pPr>
        <w:spacing w:after="120" w:before="80"/>
        <w:jc w:val="both"/>
      </w:pPr>
      <w:r>
        <w:rPr>
          <w:rFonts w:ascii="Arial" w:cs="Arial" w:eastAsia="Arial" w:hAnsi="Arial"/>
          <w:b w:val="false"/>
          <w:bCs w:val="false"/>
          <w:i w:val="false"/>
          <w:iCs w:val="false"/>
          <w:color w:val="222222"/>
          <w:sz w:val="22"/>
          <w:szCs w:val="22"/>
        </w:rPr>
        <w:t xml:space="preserve">Contemporary large language models achieve remarkable performance on diverse tasks, yet the </w:t>
      </w:r>
      <w:r>
        <w:rPr>
          <w:rFonts w:ascii="Arial" w:cs="Arial" w:eastAsia="Arial" w:hAnsi="Arial"/>
          <w:b w:val="false"/>
          <w:bCs w:val="false"/>
          <w:i/>
          <w:iCs/>
          <w:color w:val="222222"/>
          <w:sz w:val="22"/>
          <w:szCs w:val="22"/>
        </w:rPr>
        <w:t xml:space="preserve">internal mechanisms</w:t>
      </w:r>
      <w:r>
        <w:rPr>
          <w:rFonts w:ascii="Arial" w:cs="Arial" w:eastAsia="Arial" w:hAnsi="Arial"/>
          <w:b w:val="false"/>
          <w:bCs w:val="false"/>
          <w:i w:val="false"/>
          <w:iCs w:val="false"/>
          <w:color w:val="222222"/>
          <w:sz w:val="22"/>
          <w:szCs w:val="22"/>
        </w:rPr>
        <w:t xml:space="preserve"> governing this performance remain poorly understood. Mechanistic interpretability research (Elhage et al., 2021; Nanda et al., 2022) has identified circuit-level structures for specific behaviors, but lacks global characterization tools that scale gracefully with model size.</w:t>
      </w:r>
    </w:p>
    <w:p>
      <w:pPr>
        <w:spacing w:after="120" w:before="80"/>
        <w:jc w:val="both"/>
      </w:pPr>
      <w:r>
        <w:rPr>
          <w:rFonts w:ascii="Arial" w:cs="Arial" w:eastAsia="Arial" w:hAnsi="Arial"/>
          <w:b w:val="false"/>
          <w:bCs w:val="false"/>
          <w:i w:val="false"/>
          <w:iCs w:val="false"/>
          <w:color w:val="222222"/>
          <w:sz w:val="22"/>
          <w:szCs w:val="22"/>
        </w:rPr>
        <w:t xml:space="preserve">We propose that </w:t>
      </w:r>
      <w:r>
        <w:rPr>
          <w:rFonts w:ascii="Arial" w:cs="Arial" w:eastAsia="Arial" w:hAnsi="Arial"/>
          <w:b/>
          <w:bCs/>
          <w:i w:val="false"/>
          <w:iCs w:val="false"/>
          <w:color w:val="222222"/>
          <w:sz w:val="22"/>
          <w:szCs w:val="22"/>
        </w:rPr>
        <w:t xml:space="preserve">spectral analysis of activation covariance matrices</w:t>
      </w:r>
      <w:r>
        <w:rPr>
          <w:rFonts w:ascii="Arial" w:cs="Arial" w:eastAsia="Arial" w:hAnsi="Arial"/>
          <w:b w:val="false"/>
          <w:bCs w:val="false"/>
          <w:i w:val="false"/>
          <w:iCs w:val="false"/>
          <w:color w:val="222222"/>
          <w:sz w:val="22"/>
          <w:szCs w:val="22"/>
        </w:rPr>
        <w:t xml:space="preserve"> provides such a global characterization. The key intuition: if a prompt activates </w:t>
      </w:r>
      <w:r>
        <w:rPr>
          <w:rFonts w:ascii="Arial" w:cs="Arial" w:eastAsia="Arial" w:hAnsi="Arial"/>
          <w:b w:val="false"/>
          <w:bCs w:val="false"/>
          <w:i/>
          <w:iCs/>
          <w:color w:val="222222"/>
          <w:sz w:val="22"/>
          <w:szCs w:val="22"/>
        </w:rPr>
        <w:t xml:space="preserve">k</w:t>
      </w:r>
      <w:r>
        <w:rPr>
          <w:rFonts w:ascii="Arial" w:cs="Arial" w:eastAsia="Arial" w:hAnsi="Arial"/>
          <w:b w:val="false"/>
          <w:bCs w:val="false"/>
          <w:i w:val="false"/>
          <w:iCs w:val="false"/>
          <w:color w:val="222222"/>
          <w:sz w:val="22"/>
          <w:szCs w:val="22"/>
        </w:rPr>
        <w:t xml:space="preserve"> dominant semantic directions in the residual stream, the covariance matrix M will exhibit k "spike" eigenvalues above the Marchenko-Pastur bulk — the BBP transition. The number and distribution of these spikes encode the effective rank of the activated subspace, which we hypothesize corresponds to the prompt's cognitive complexity.</w:t>
      </w:r>
    </w:p>
    <w:p>
      <w:pPr>
        <w:pStyle w:val="Heading2"/>
        <w:spacing w:after="100" w:before="280"/>
      </w:pPr>
      <w:r>
        <w:rPr>
          <w:rFonts w:ascii="Arial" w:cs="Arial" w:eastAsia="Arial" w:hAnsi="Arial"/>
          <w:b/>
          <w:bCs/>
          <w:color w:val="2E75B6"/>
          <w:sz w:val="28"/>
          <w:szCs w:val="28"/>
        </w:rPr>
        <w:t xml:space="preserve">1.2 Prior Work</w:t>
      </w:r>
    </w:p>
    <w:p>
      <w:pPr>
        <w:spacing w:after="120" w:before="80"/>
        <w:jc w:val="both"/>
      </w:pPr>
      <w:r>
        <w:rPr>
          <w:rFonts w:ascii="Arial" w:cs="Arial" w:eastAsia="Arial" w:hAnsi="Arial"/>
          <w:b w:val="false"/>
          <w:bCs w:val="false"/>
          <w:i w:val="false"/>
          <w:iCs w:val="false"/>
          <w:color w:val="222222"/>
          <w:sz w:val="22"/>
          <w:szCs w:val="22"/>
        </w:rPr>
        <w:t xml:space="preserve">Martin &amp; Mahoney (2021) demonstrated that the </w:t>
      </w:r>
      <w:r>
        <w:rPr>
          <w:rFonts w:ascii="Arial" w:cs="Arial" w:eastAsia="Arial" w:hAnsi="Arial"/>
          <w:b w:val="false"/>
          <w:bCs w:val="false"/>
          <w:i/>
          <w:iCs/>
          <w:color w:val="222222"/>
          <w:sz w:val="22"/>
          <w:szCs w:val="22"/>
        </w:rPr>
        <w:t xml:space="preserve">power-law tail exponent</w:t>
      </w:r>
      <w:r>
        <w:rPr>
          <w:rFonts w:ascii="Arial" w:cs="Arial" w:eastAsia="Arial" w:hAnsi="Arial"/>
          <w:b w:val="false"/>
          <w:bCs w:val="false"/>
          <w:i w:val="false"/>
          <w:iCs w:val="false"/>
          <w:color w:val="222222"/>
          <w:sz w:val="22"/>
          <w:szCs w:val="22"/>
        </w:rPr>
        <w:t xml:space="preserve"> of </w:t>
      </w:r>
      <w:r>
        <w:rPr>
          <w:rFonts w:ascii="Arial" w:cs="Arial" w:eastAsia="Arial" w:hAnsi="Arial"/>
          <w:b w:val="false"/>
          <w:bCs w:val="false"/>
          <w:i/>
          <w:iCs/>
          <w:color w:val="222222"/>
          <w:sz w:val="22"/>
          <w:szCs w:val="22"/>
        </w:rPr>
        <w:t xml:space="preserve">weight matrices</w:t>
      </w:r>
      <w:r>
        <w:rPr>
          <w:rFonts w:ascii="Arial" w:cs="Arial" w:eastAsia="Arial" w:hAnsi="Arial"/>
          <w:b w:val="false"/>
          <w:bCs w:val="false"/>
          <w:i w:val="false"/>
          <w:iCs w:val="false"/>
          <w:color w:val="222222"/>
          <w:sz w:val="22"/>
          <w:szCs w:val="22"/>
        </w:rPr>
        <w:t xml:space="preserve"> correlates with model generalization — a result now embedded in the WeightWatcher tool. Our work extends this program to </w:t>
      </w:r>
      <w:r>
        <w:rPr>
          <w:rFonts w:ascii="Arial" w:cs="Arial" w:eastAsia="Arial" w:hAnsi="Arial"/>
          <w:b w:val="false"/>
          <w:bCs w:val="false"/>
          <w:i/>
          <w:iCs/>
          <w:color w:val="222222"/>
          <w:sz w:val="22"/>
          <w:szCs w:val="22"/>
        </w:rPr>
        <w:t xml:space="preserve">activation matrices</w:t>
      </w:r>
      <w:r>
        <w:rPr>
          <w:rFonts w:ascii="Arial" w:cs="Arial" w:eastAsia="Arial" w:hAnsi="Arial"/>
          <w:b w:val="false"/>
          <w:bCs w:val="false"/>
          <w:i w:val="false"/>
          <w:iCs w:val="false"/>
          <w:color w:val="222222"/>
          <w:sz w:val="22"/>
          <w:szCs w:val="22"/>
        </w:rPr>
        <w:t xml:space="preserve">, which are prompt-dependent and thus sensitive to the semantic content of the input. To our knowledge, this is the first systematic application of BBP transition theory and spectral form factor analysis to characterize prompt-conditioned activation geometry.</w:t>
      </w:r>
    </w:p>
    <w:p>
      <w:pPr>
        <w:pStyle w:val="Heading2"/>
        <w:spacing w:after="100" w:before="280"/>
      </w:pPr>
      <w:r>
        <w:rPr>
          <w:rFonts w:ascii="Arial" w:cs="Arial" w:eastAsia="Arial" w:hAnsi="Arial"/>
          <w:b/>
          <w:bCs/>
          <w:color w:val="2E75B6"/>
          <w:sz w:val="28"/>
          <w:szCs w:val="28"/>
        </w:rPr>
        <w:t xml:space="preserve">1.3 Main Contributions</w:t>
      </w:r>
    </w:p>
    <w:p>
      <w:pPr>
        <w:pStyle w:val="ListParagraph"/>
        <w:numPr>
          <w:ilvl w:val="0"/>
          <w:numId w:val="2"/>
        </w:numPr>
        <w:spacing w:after="60" w:before="40"/>
      </w:pPr>
      <w:r>
        <w:rPr>
          <w:rFonts w:ascii="Arial" w:cs="Arial" w:eastAsia="Arial" w:hAnsi="Arial"/>
          <w:color w:val="222222"/>
          <w:sz w:val="22"/>
          <w:szCs w:val="22"/>
        </w:rPr>
        <w:t xml:space="preserve">A rigorous RMT framework for analyzing LLM activation covariance matrices, including MP-corrected λ+ thresholds for any (N, T) pair.</w:t>
      </w:r>
    </w:p>
    <w:p>
      <w:pPr>
        <w:pStyle w:val="ListParagraph"/>
        <w:numPr>
          <w:ilvl w:val="0"/>
          <w:numId w:val="2"/>
        </w:numPr>
        <w:spacing w:after="60" w:before="40"/>
      </w:pPr>
      <w:r>
        <w:rPr>
          <w:rFonts w:ascii="Arial" w:cs="Arial" w:eastAsia="Arial" w:hAnsi="Arial"/>
          <w:color w:val="222222"/>
          <w:sz w:val="22"/>
          <w:szCs w:val="22"/>
        </w:rPr>
        <w:t xml:space="preserve">Complete numerical simulation at N=768, T=50 with 5 experiments: layer profiles, BBP transition sweep, temperature sweep, shock perturbation, and context dilution.</w:t>
      </w:r>
    </w:p>
    <w:p>
      <w:pPr>
        <w:pStyle w:val="ListParagraph"/>
        <w:numPr>
          <w:ilvl w:val="0"/>
          <w:numId w:val="2"/>
        </w:numPr>
        <w:spacing w:after="60" w:before="40"/>
      </w:pPr>
      <w:r>
        <w:rPr>
          <w:rFonts w:ascii="Arial" w:cs="Arial" w:eastAsia="Arial" w:hAnsi="Arial"/>
          <w:color w:val="222222"/>
          <w:sz w:val="22"/>
          <w:szCs w:val="22"/>
        </w:rPr>
        <w:t xml:space="preserve">Real GPT-2 verification at T=52 revealing a partial refutation with three unexpected findings: ΔPR sign reversal, absence of BBP spike in both classes, and near-perfect GOE alignment.</w:t>
      </w:r>
    </w:p>
    <w:p>
      <w:pPr>
        <w:pStyle w:val="ListParagraph"/>
        <w:numPr>
          <w:ilvl w:val="0"/>
          <w:numId w:val="2"/>
        </w:numPr>
        <w:spacing w:after="60" w:before="40"/>
      </w:pPr>
      <w:r>
        <w:rPr>
          <w:rFonts w:ascii="Arial" w:cs="Arial" w:eastAsia="Arial" w:hAnsi="Arial"/>
          <w:color w:val="222222"/>
          <w:sz w:val="22"/>
          <w:szCs w:val="22"/>
        </w:rPr>
        <w:t xml:space="preserve">A revised hypothesis reconciling simulation and empirical results.</w:t>
      </w:r>
    </w:p>
    <w:p>
      <w:pPr>
        <w:pStyle w:val="ListParagraph"/>
        <w:numPr>
          <w:ilvl w:val="0"/>
          <w:numId w:val="2"/>
        </w:numPr>
        <w:spacing w:after="60" w:before="40"/>
      </w:pPr>
      <w:r>
        <w:rPr>
          <w:rFonts w:ascii="Arial" w:cs="Arial" w:eastAsia="Arial" w:hAnsi="Arial"/>
          <w:color w:val="222222"/>
          <w:sz w:val="22"/>
          <w:szCs w:val="22"/>
        </w:rPr>
        <w:t xml:space="preserve">A production-ready Google Colab codebase supporting GPT-2 (117M–1.5B), Pythia, and LLaMA-2 families.</w:t>
      </w:r>
    </w:p>
    <w:p>
      <w:pPr>
        <w:spacing w:after="80" w:before="0"/>
      </w:pPr>
      <w:r>
        <w:t xml:space="preserve"/>
      </w:r>
    </w:p>
    <w:p>
      <w:pPr>
        <w:pStyle w:val="Heading1"/>
        <w:spacing w:after="120" w:before="360"/>
      </w:pPr>
      <w:r>
        <w:rPr>
          <w:rFonts w:ascii="Arial" w:cs="Arial" w:eastAsia="Arial" w:hAnsi="Arial"/>
          <w:b/>
          <w:bCs/>
          <w:color w:val="1F3864"/>
          <w:sz w:val="36"/>
          <w:szCs w:val="36"/>
        </w:rPr>
        <w:t xml:space="preserve">2. Mathematical Framework</w:t>
      </w:r>
    </w:p>
    <w:p>
      <w:pPr>
        <w:pBdr>
          <w:bottom w:val="single" w:color="2E75B6" w:sz="6" w:space="1"/>
        </w:pBdr>
        <w:spacing w:after="80" w:before="0"/>
      </w:pPr>
      <w:r>
        <w:t xml:space="preserve"/>
      </w:r>
    </w:p>
    <w:p>
      <w:pPr>
        <w:pStyle w:val="Heading2"/>
        <w:spacing w:after="100" w:before="280"/>
      </w:pPr>
      <w:r>
        <w:rPr>
          <w:rFonts w:ascii="Arial" w:cs="Arial" w:eastAsia="Arial" w:hAnsi="Arial"/>
          <w:b/>
          <w:bCs/>
          <w:color w:val="2E75B6"/>
          <w:sz w:val="28"/>
          <w:szCs w:val="28"/>
        </w:rPr>
        <w:t xml:space="preserve">2.1 Activation Covariance Matrix</w:t>
      </w:r>
    </w:p>
    <w:p>
      <w:pPr>
        <w:spacing w:after="120" w:before="80"/>
        <w:jc w:val="both"/>
      </w:pPr>
      <w:r>
        <w:rPr>
          <w:rFonts w:ascii="Arial" w:cs="Arial" w:eastAsia="Arial" w:hAnsi="Arial"/>
          <w:b w:val="false"/>
          <w:bCs w:val="false"/>
          <w:i w:val="false"/>
          <w:iCs w:val="false"/>
          <w:color w:val="222222"/>
          <w:sz w:val="22"/>
          <w:szCs w:val="22"/>
        </w:rPr>
        <w:t xml:space="preserve">Let </w:t>
      </w:r>
      <w:r>
        <w:rPr>
          <w:rFonts w:ascii="Arial" w:cs="Arial" w:eastAsia="Arial" w:hAnsi="Arial"/>
          <w:b w:val="false"/>
          <w:bCs w:val="false"/>
          <w:i/>
          <w:iCs/>
          <w:color w:val="222222"/>
          <w:sz w:val="22"/>
          <w:szCs w:val="22"/>
        </w:rPr>
        <w:t xml:space="preserve">X ∈ ℝ^{T×N}</w:t>
      </w:r>
      <w:r>
        <w:rPr>
          <w:rFonts w:ascii="Arial" w:cs="Arial" w:eastAsia="Arial" w:hAnsi="Arial"/>
          <w:b w:val="false"/>
          <w:bCs w:val="false"/>
          <w:i w:val="false"/>
          <w:iCs w:val="false"/>
          <w:color w:val="222222"/>
          <w:sz w:val="22"/>
          <w:szCs w:val="22"/>
        </w:rPr>
        <w:t xml:space="preserve"> denote the matrix of residual stream hidden states at a given transformer layer, where T is the sequence length and N is the hidden dimension. We define the normalized covariance:</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Xₙ[i,j] = X[i,j] / ‖X[:,j]‖₂     (column-normalize)</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M = Xₙᵀ Xₙ / T    ∈  ℝ^{N×N}     (symmetric, rank = T)</w:t>
      </w:r>
    </w:p>
    <w:p>
      <w:pPr>
        <w:spacing w:after="120" w:before="80"/>
        <w:jc w:val="both"/>
      </w:pPr>
      <w:r>
        <w:rPr>
          <w:rFonts w:ascii="Arial" w:cs="Arial" w:eastAsia="Arial" w:hAnsi="Arial"/>
          <w:b w:val="false"/>
          <w:bCs w:val="false"/>
          <w:i w:val="false"/>
          <w:iCs w:val="false"/>
          <w:color w:val="222222"/>
          <w:sz w:val="22"/>
          <w:szCs w:val="22"/>
        </w:rPr>
        <w:t xml:space="preserve">The matrix M has exactly T nonzero eigenvalues (equal to the rank of Xₙ) and N−T eigenvalues equal to zero. All subsequent spectral analysis is restricted to the T nonzero eigenvalues λ₁ ≥ λ₂ ≥ ... ≥ λ_T &gt; 0.</w:t>
      </w:r>
    </w:p>
    <w:p>
      <w:pPr>
        <w:pStyle w:val="Heading2"/>
        <w:spacing w:after="100" w:before="280"/>
      </w:pPr>
      <w:r>
        <w:rPr>
          <w:rFonts w:ascii="Arial" w:cs="Arial" w:eastAsia="Arial" w:hAnsi="Arial"/>
          <w:b/>
          <w:bCs/>
          <w:color w:val="2E75B6"/>
          <w:sz w:val="28"/>
          <w:szCs w:val="28"/>
        </w:rPr>
        <w:t xml:space="preserve">2.2 Marchenko-Pastur Distribution</w:t>
      </w:r>
    </w:p>
    <w:p>
      <w:pPr>
        <w:spacing w:after="120" w:before="80"/>
        <w:jc w:val="both"/>
      </w:pPr>
      <w:r>
        <w:rPr>
          <w:rFonts w:ascii="Arial" w:cs="Arial" w:eastAsia="Arial" w:hAnsi="Arial"/>
          <w:b w:val="false"/>
          <w:bCs w:val="false"/>
          <w:i w:val="false"/>
          <w:iCs w:val="false"/>
          <w:color w:val="222222"/>
          <w:sz w:val="22"/>
          <w:szCs w:val="22"/>
        </w:rPr>
        <w:t xml:space="preserve">For a random Gaussian matrix X with i.i.d. entries, the empirical spectral distribution of M converges in the limit N,T → ∞ with q = T/N fixed to the Marchenko-Pastur (MP) law:</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ρ_MP(λ) = T/(2πNλ) · √[(λ₊−λ)(λ−λ₋)]     for λ ∈ [λ₋, λ₊]</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λ± = (1 ± √(T/N))²   (bulk edges, σ²=1 normalized)</w:t>
      </w:r>
    </w:p>
    <w:p>
      <w:pPr>
        <w:spacing w:after="120" w:before="80"/>
        <w:jc w:val="both"/>
      </w:pPr>
      <w:r>
        <w:rPr>
          <w:rFonts w:ascii="Arial" w:cs="Arial" w:eastAsia="Arial" w:hAnsi="Arial"/>
          <w:b w:val="false"/>
          <w:bCs w:val="false"/>
          <w:i w:val="false"/>
          <w:iCs w:val="false"/>
          <w:color w:val="222222"/>
          <w:sz w:val="22"/>
          <w:szCs w:val="22"/>
        </w:rPr>
        <w:t xml:space="preserve">For GPT-2 with N=768 and T=52: λ₊ = (1+√(52/768))² ≈ 1.588. Any eigenvalue significantly exceeding λ₊ constitutes a </w:t>
      </w:r>
      <w:r>
        <w:rPr>
          <w:rFonts w:ascii="Arial" w:cs="Arial" w:eastAsia="Arial" w:hAnsi="Arial"/>
          <w:b/>
          <w:bCs/>
          <w:i w:val="false"/>
          <w:iCs w:val="false"/>
          <w:color w:val="222222"/>
          <w:sz w:val="22"/>
          <w:szCs w:val="22"/>
        </w:rPr>
        <w:t xml:space="preserve">BBP spike</w:t>
      </w:r>
      <w:r>
        <w:rPr>
          <w:rFonts w:ascii="Arial" w:cs="Arial" w:eastAsia="Arial" w:hAnsi="Arial"/>
          <w:b w:val="false"/>
          <w:bCs w:val="false"/>
          <w:i w:val="false"/>
          <w:iCs w:val="false"/>
          <w:color w:val="222222"/>
          <w:sz w:val="22"/>
          <w:szCs w:val="22"/>
        </w:rPr>
        <w:t xml:space="preserve"> and indicates a detectable low-rank signal component.</w:t>
      </w:r>
    </w:p>
    <w:p>
      <w:pPr>
        <w:pStyle w:val="Heading2"/>
        <w:spacing w:after="100" w:before="280"/>
      </w:pPr>
      <w:r>
        <w:rPr>
          <w:rFonts w:ascii="Arial" w:cs="Arial" w:eastAsia="Arial" w:hAnsi="Arial"/>
          <w:b/>
          <w:bCs/>
          <w:color w:val="2E75B6"/>
          <w:sz w:val="28"/>
          <w:szCs w:val="28"/>
        </w:rPr>
        <w:t xml:space="preserve">2.3 BBP Phase Transition</w:t>
      </w:r>
    </w:p>
    <w:p>
      <w:pPr>
        <w:spacing w:after="120" w:before="80"/>
        <w:jc w:val="both"/>
      </w:pPr>
      <w:r>
        <w:rPr>
          <w:rFonts w:ascii="Arial" w:cs="Arial" w:eastAsia="Arial" w:hAnsi="Arial"/>
          <w:b w:val="false"/>
          <w:bCs w:val="false"/>
          <w:i w:val="false"/>
          <w:iCs w:val="false"/>
          <w:color w:val="222222"/>
          <w:sz w:val="22"/>
          <w:szCs w:val="22"/>
        </w:rPr>
        <w:t xml:space="preserve">The Baik-Ben Arous-Péché (2005) theorem establishes a sharp phase transition for finite-rank perturbations of random matrices. For a rank-k signal with per-component SNR:</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SNR_crit = √(N/T)    (critical BBP threshold)</w:t>
      </w:r>
    </w:p>
    <w:p>
      <w:pPr>
        <w:spacing w:after="120" w:before="80"/>
        <w:jc w:val="both"/>
      </w:pPr>
      <w:r>
        <w:rPr>
          <w:rFonts w:ascii="Arial" w:cs="Arial" w:eastAsia="Arial" w:hAnsi="Arial"/>
          <w:b w:val="false"/>
          <w:bCs w:val="false"/>
          <w:i w:val="false"/>
          <w:iCs w:val="false"/>
          <w:color w:val="222222"/>
          <w:sz w:val="22"/>
          <w:szCs w:val="22"/>
        </w:rPr>
        <w:t xml:space="preserve">Signals with SNR &gt; SNR_crit produce isolated eigenvalues (spikes) above λ₊. For N=768, T=52: SNR_crit ≈ √(768/52) ≈ 3.84.</w:t>
      </w:r>
    </w:p>
    <w:p>
      <w:pPr>
        <w:pStyle w:val="Heading2"/>
        <w:spacing w:after="100" w:before="280"/>
      </w:pPr>
      <w:r>
        <w:rPr>
          <w:rFonts w:ascii="Arial" w:cs="Arial" w:eastAsia="Arial" w:hAnsi="Arial"/>
          <w:b/>
          <w:bCs/>
          <w:color w:val="2E75B6"/>
          <w:sz w:val="28"/>
          <w:szCs w:val="28"/>
        </w:rPr>
        <w:t xml:space="preserve">2.4 Spectral Metrics</w:t>
      </w:r>
    </w:p>
    <w:p>
      <w:pPr>
        <w:pStyle w:val="Heading3"/>
        <w:spacing w:after="80" w:before="200"/>
      </w:pPr>
      <w:r>
        <w:rPr>
          <w:rFonts w:ascii="Arial" w:cs="Arial" w:eastAsia="Arial" w:hAnsi="Arial"/>
          <w:b/>
          <w:bCs/>
          <w:color w:val="4472C4"/>
          <w:sz w:val="24"/>
          <w:szCs w:val="24"/>
        </w:rPr>
        <w:t xml:space="preserve">Participation Ratio (PR)</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PR = (Σᵢ λᵢ)² / Σᵢ λᵢ²     ∈ [1, T]</w:t>
      </w:r>
    </w:p>
    <w:p>
      <w:pPr>
        <w:spacing w:after="120" w:before="80"/>
        <w:jc w:val="both"/>
      </w:pPr>
      <w:r>
        <w:rPr>
          <w:rFonts w:ascii="Arial" w:cs="Arial" w:eastAsia="Arial" w:hAnsi="Arial"/>
          <w:b w:val="false"/>
          <w:bCs w:val="false"/>
          <w:i w:val="false"/>
          <w:iCs w:val="false"/>
          <w:color w:val="222222"/>
          <w:sz w:val="22"/>
          <w:szCs w:val="22"/>
        </w:rPr>
        <w:t xml:space="preserve">PR measures the effective number of active eigenvalue modes. PR = 1 corresponds to rank-1 (one dominant concept), PR = T to a uniform spectrum (maximally diffuse). </w:t>
      </w:r>
      <w:r>
        <w:rPr>
          <w:rFonts w:ascii="Arial" w:cs="Arial" w:eastAsia="Arial" w:hAnsi="Arial"/>
          <w:b/>
          <w:bCs/>
          <w:i w:val="false"/>
          <w:iCs w:val="false"/>
          <w:color w:val="222222"/>
          <w:sz w:val="22"/>
          <w:szCs w:val="22"/>
        </w:rPr>
        <w:t xml:space="preserve">PR/T</w:t>
      </w:r>
      <w:r>
        <w:rPr>
          <w:rFonts w:ascii="Arial" w:cs="Arial" w:eastAsia="Arial" w:hAnsi="Arial"/>
          <w:b w:val="false"/>
          <w:bCs w:val="false"/>
          <w:i w:val="false"/>
          <w:iCs w:val="false"/>
          <w:color w:val="222222"/>
          <w:sz w:val="22"/>
          <w:szCs w:val="22"/>
        </w:rPr>
        <w:t xml:space="preserve"> = PR normalized to [0,1] is the key comparison metric across different T values.</w:t>
      </w:r>
    </w:p>
    <w:p>
      <w:pPr>
        <w:pStyle w:val="Heading3"/>
        <w:spacing w:after="80" w:before="200"/>
      </w:pPr>
      <w:r>
        <w:rPr>
          <w:rFonts w:ascii="Arial" w:cs="Arial" w:eastAsia="Arial" w:hAnsi="Arial"/>
          <w:b/>
          <w:bCs/>
          <w:color w:val="4472C4"/>
          <w:sz w:val="24"/>
          <w:szCs w:val="24"/>
        </w:rPr>
        <w:t xml:space="preserve">Spectral Entropy</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S_spec = −Σᵢ pᵢ log pᵢ     where pᵢ = λᵢ / Σⱼ λⱼ</w:t>
      </w:r>
    </w:p>
    <w:p>
      <w:pPr>
        <w:spacing w:after="120" w:before="80"/>
        <w:jc w:val="both"/>
      </w:pPr>
      <w:r>
        <w:rPr>
          <w:rFonts w:ascii="Arial" w:cs="Arial" w:eastAsia="Arial" w:hAnsi="Arial"/>
          <w:b w:val="false"/>
          <w:bCs w:val="false"/>
          <w:i w:val="false"/>
          <w:iCs w:val="false"/>
          <w:color w:val="222222"/>
          <w:sz w:val="22"/>
          <w:szCs w:val="22"/>
        </w:rPr>
        <w:t xml:space="preserve">Spectral entropy quantifies uniformity of eigenvalue energy distribution. Range: [0, log(T)]. Equivalent to the thermodynamic entropy of a system where eigenvalues are "energy levels".</w:t>
      </w:r>
    </w:p>
    <w:p>
      <w:pPr>
        <w:pStyle w:val="Heading3"/>
        <w:spacing w:after="80" w:before="200"/>
      </w:pPr>
      <w:r>
        <w:rPr>
          <w:rFonts w:ascii="Arial" w:cs="Arial" w:eastAsia="Arial" w:hAnsi="Arial"/>
          <w:b/>
          <w:bCs/>
          <w:color w:val="4472C4"/>
          <w:sz w:val="24"/>
          <w:szCs w:val="24"/>
        </w:rPr>
        <w:t xml:space="preserve">Free Energy</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F(τ) = λmax − τ · S_spec</w:t>
      </w:r>
    </w:p>
    <w:p>
      <w:pPr>
        <w:spacing w:after="120" w:before="80"/>
        <w:jc w:val="both"/>
      </w:pPr>
      <w:r>
        <w:rPr>
          <w:rFonts w:ascii="Arial" w:cs="Arial" w:eastAsia="Arial" w:hAnsi="Arial"/>
          <w:b w:val="false"/>
          <w:bCs w:val="false"/>
          <w:i w:val="false"/>
          <w:iCs w:val="false"/>
          <w:color w:val="222222"/>
          <w:sz w:val="22"/>
          <w:szCs w:val="22"/>
        </w:rPr>
        <w:t xml:space="preserve">Analogous to thermodynamic free energy F = U − TS. Internal energy U = λmax (dominant mode energy), temperature τ weights the entropic contribution. The critical temperature τ_c = λmax/S (where F=0) marks the transition from "bound state" (F &gt; 0, structured) to "gas state" (F &lt; 0, diffuse). At τ=1: F = λmax − S_spec is our primary metric.</w:t>
      </w:r>
    </w:p>
    <w:p>
      <w:pPr>
        <w:pStyle w:val="Heading3"/>
        <w:spacing w:after="80" w:before="200"/>
      </w:pPr>
      <w:r>
        <w:rPr>
          <w:rFonts w:ascii="Arial" w:cs="Arial" w:eastAsia="Arial" w:hAnsi="Arial"/>
          <w:b/>
          <w:bCs/>
          <w:color w:val="4472C4"/>
          <w:sz w:val="24"/>
          <w:szCs w:val="24"/>
        </w:rPr>
        <w:t xml:space="preserve">Tracy-Widom z-score</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TW_z = (λmax − λ₊) / (λ₊ · T^{−2/3})</w:t>
      </w:r>
    </w:p>
    <w:p>
      <w:pPr>
        <w:spacing w:after="120" w:before="80"/>
        <w:jc w:val="both"/>
      </w:pPr>
      <w:r>
        <w:rPr>
          <w:rFonts w:ascii="Arial" w:cs="Arial" w:eastAsia="Arial" w:hAnsi="Arial"/>
          <w:b w:val="false"/>
          <w:bCs w:val="false"/>
          <w:i w:val="false"/>
          <w:iCs w:val="false"/>
          <w:color w:val="222222"/>
          <w:sz w:val="22"/>
          <w:szCs w:val="22"/>
        </w:rPr>
        <w:t xml:space="preserve">Measures how many Tracy-Widom standard deviations λmax lies above the MP edge. TW_z &gt;&gt; 3 indicates a statistically significant BBP spike. Fluctuations of the largest eigenvalue scale as T^{-2/3} near the MP edge.</w:t>
      </w:r>
    </w:p>
    <w:p>
      <w:pPr>
        <w:pStyle w:val="Heading3"/>
        <w:spacing w:after="80" w:before="200"/>
      </w:pPr>
      <w:r>
        <w:rPr>
          <w:rFonts w:ascii="Arial" w:cs="Arial" w:eastAsia="Arial" w:hAnsi="Arial"/>
          <w:b/>
          <w:bCs/>
          <w:color w:val="4472C4"/>
          <w:sz w:val="24"/>
          <w:szCs w:val="24"/>
        </w:rPr>
        <w:t xml:space="preserve">Spacing Ratio</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&lt;r&gt; = ⟨min(δₙ,δₙ₊₁) / max(δₙ,δₙ₊₁)⟩     where δₙ = λₙ − λₙ₊₁</w:t>
      </w:r>
    </w:p>
    <w:p>
      <w:pPr>
        <w:spacing w:after="120" w:before="80"/>
        <w:jc w:val="both"/>
      </w:pPr>
      <w:r>
        <w:rPr>
          <w:rFonts w:ascii="Arial" w:cs="Arial" w:eastAsia="Arial" w:hAnsi="Arial"/>
          <w:b w:val="false"/>
          <w:bCs w:val="false"/>
          <w:i w:val="false"/>
          <w:iCs w:val="false"/>
          <w:color w:val="222222"/>
          <w:sz w:val="22"/>
          <w:szCs w:val="22"/>
        </w:rPr>
        <w:t xml:space="preserve">Nearest-neighbor spacing ratio, a robust spectral statistics measure that does not require unfolding. Reference values: Poisson (integrable) = 0.386, GOE (quantum chaotic) = 0.531, GUE = 0.600. Near-GOE behavior indicates level repulsion consistent with correlated chaotic dynamics.</w:t>
      </w:r>
    </w:p>
    <w:p>
      <w:pPr>
        <w:spacing w:after="80" w:before="0"/>
      </w:pPr>
      <w:r>
        <w:t xml:space="preserve"/>
      </w:r>
    </w:p>
    <w:p>
      <w:pPr>
        <w:pStyle w:val="Heading1"/>
        <w:spacing w:after="120" w:before="360"/>
      </w:pPr>
      <w:r>
        <w:rPr>
          <w:rFonts w:ascii="Arial" w:cs="Arial" w:eastAsia="Arial" w:hAnsi="Arial"/>
          <w:b/>
          <w:bCs/>
          <w:color w:val="1F3864"/>
          <w:sz w:val="36"/>
          <w:szCs w:val="36"/>
        </w:rPr>
        <w:t xml:space="preserve">3. Simulation Results (N=768, T=50, N_PROMPTS=20)</w:t>
      </w:r>
    </w:p>
    <w:p>
      <w:pPr>
        <w:pBdr>
          <w:bottom w:val="single" w:color="2E75B6" w:sz="6" w:space="1"/>
        </w:pBdr>
        <w:spacing w:after="80" w:before="0"/>
      </w:pPr>
      <w:r>
        <w:t xml:space="preserve"/>
      </w:r>
    </w:p>
    <w:p>
      <w:pPr>
        <w:pStyle w:val="Heading2"/>
        <w:spacing w:after="100" w:before="280"/>
      </w:pPr>
      <w:r>
        <w:rPr>
          <w:rFonts w:ascii="Arial" w:cs="Arial" w:eastAsia="Arial" w:hAnsi="Arial"/>
          <w:b/>
          <w:bCs/>
          <w:color w:val="2E75B6"/>
          <w:sz w:val="28"/>
          <w:szCs w:val="28"/>
        </w:rPr>
        <w:t xml:space="preserve">3.1 Ground Truth Validation</w:t>
      </w:r>
    </w:p>
    <w:p>
      <w:pPr>
        <w:spacing w:after="120" w:before="80"/>
        <w:jc w:val="both"/>
      </w:pPr>
      <w:r>
        <w:rPr>
          <w:rFonts w:ascii="Arial" w:cs="Arial" w:eastAsia="Arial" w:hAnsi="Arial"/>
          <w:b w:val="false"/>
          <w:bCs w:val="false"/>
          <w:i w:val="false"/>
          <w:iCs w:val="false"/>
          <w:color w:val="222222"/>
          <w:sz w:val="22"/>
          <w:szCs w:val="22"/>
        </w:rPr>
        <w:t xml:space="preserve">Before applying metrics to simulated LLM activations, we validated the pipeline on matrices with known spectral properties. Rank-1 matrices yielded PR=2.2, GOE-like matrices PR=46.1 — confirming the pipeline correctly resolves the full range.</w:t>
      </w:r>
    </w:p>
    <w:p>
      <w:pPr>
        <w:pStyle w:val="Heading2"/>
        <w:spacing w:after="100" w:before="280"/>
      </w:pPr>
      <w:r>
        <w:rPr>
          <w:rFonts w:ascii="Arial" w:cs="Arial" w:eastAsia="Arial" w:hAnsi="Arial"/>
          <w:b/>
          <w:bCs/>
          <w:color w:val="2E75B6"/>
          <w:sz w:val="28"/>
          <w:szCs w:val="28"/>
        </w:rPr>
        <w:t xml:space="preserve">3.2 Layer Profile: Factual vs Creative</w:t>
      </w:r>
    </w:p>
    <w:p>
      <w:pPr>
        <w:spacing w:after="120" w:before="80"/>
        <w:jc w:val="both"/>
      </w:pPr>
      <w:r>
        <w:rPr>
          <w:rFonts w:ascii="Arial" w:cs="Arial" w:eastAsia="Arial" w:hAnsi="Arial"/>
          <w:b w:val="false"/>
          <w:bCs w:val="false"/>
          <w:i w:val="false"/>
          <w:iCs w:val="false"/>
          <w:color w:val="222222"/>
          <w:sz w:val="22"/>
          <w:szCs w:val="22"/>
        </w:rPr>
        <w:t xml:space="preserve">Simulated activation matrices were generated using X = B·C + ε where B ∈ ℝ^{N×k} spans k semantic basis vectors, C ∈ ℝ^{k×T} contains token-wise coefficients (exponential for factual k=3-5, Gaussian for creative k=15-50), and ε is isotropic noise. Parameters were calibrated against WeightWatcher spectral norms for GPT-2.</w:t>
      </w:r>
    </w:p>
    <w:p>
      <w:pPr>
        <w:spacing w:after="60" w:before="0"/>
      </w:pPr>
      <w:r>
        <w:t xml:space="preserve"/>
      </w:r>
    </w:p>
    <w:p>
      <w:pPr>
        <w:spacing w:after="80" w:before="100"/>
        <w:jc w:val="center"/>
      </w:pPr>
      <w:r>
        <w:drawing>
          <wp:inline distT="0" distB="0" distL="0" distR="0">
            <wp:extent cx="6219825"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19825" cy="4752975"/>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1. Deep simulation spectral analysis: eigenvalue density with MP overlay, scree plots, PR/SNR/S_spec/Free Energy profiles across 12 simulated GPT-2 layers, BBP transition sweep, shock perturbation, context dilution, and RG flow. Simulation predicts ΔPR ≈ +39 (creative &gt; factual) with clear BBP spike for factual prompts.</w:t>
      </w:r>
    </w:p>
    <w:p>
      <w:pPr>
        <w:spacing w:after="60" w:before="0"/>
      </w:pPr>
      <w:r>
        <w:t xml:space="preserve"/>
      </w:r>
    </w:p>
    <w:p>
      <w:pPr>
        <w:pStyle w:val="Heading2"/>
        <w:spacing w:after="100" w:before="280"/>
      </w:pPr>
      <w:r>
        <w:rPr>
          <w:rFonts w:ascii="Arial" w:cs="Arial" w:eastAsia="Arial" w:hAnsi="Arial"/>
          <w:b/>
          <w:bCs/>
          <w:color w:val="2E75B6"/>
          <w:sz w:val="28"/>
          <w:szCs w:val="28"/>
        </w:rPr>
        <w:t xml:space="preserve">3.3 Summary Statistics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100"/>
        <w:gridCol w:w="1200"/>
        <w:gridCol w:w="1200"/>
        <w:gridCol w:w="1100"/>
      </w:tblGrid>
      <w:tr>
        <w:tc>
          <w:tcPr>
            <w:tcW w:type="dxa" w:w="15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Metric</w:t>
            </w:r>
          </w:p>
        </w:tc>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Sim Factual</w:t>
            </w:r>
          </w:p>
        </w:tc>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Sim Creative</w:t>
            </w:r>
          </w:p>
        </w:tc>
        <w:tc>
          <w:tcPr>
            <w:tcW w:type="dxa" w:w="11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Δ_sim</w:t>
            </w:r>
          </w:p>
        </w:tc>
        <w:tc>
          <w:tcPr>
            <w:tcW w:type="dxa" w:w="12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Real GPT-2
Factual</w:t>
            </w:r>
          </w:p>
        </w:tc>
        <w:tc>
          <w:tcPr>
            <w:tcW w:type="dxa" w:w="12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Real GPT-2
Creative</w:t>
            </w:r>
          </w:p>
        </w:tc>
        <w:tc>
          <w:tcPr>
            <w:tcW w:type="dxa" w:w="11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Δ_real</w:t>
            </w:r>
          </w:p>
        </w:tc>
      </w:tr>
      <w:tr>
        <w:tc>
          <w:tcPr>
            <w:tcW w:type="dxa" w:w="15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bCs/>
                <w:i w:val="false"/>
                <w:iCs w:val="false"/>
                <w:color w:val="222222"/>
                <w:sz w:val="20"/>
                <w:szCs w:val="20"/>
              </w:rPr>
              <w:t xml:space="preserve">PR</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6.35±0.8</w:t>
            </w:r>
          </w:p>
        </w:tc>
        <w:tc>
          <w:tcPr>
            <w:tcW w:type="dxa" w:w="12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45.97±1.2</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+39.62</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27.36±1.5</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24.80±2.1</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−2.56</w:t>
            </w:r>
          </w:p>
        </w:tc>
      </w:tr>
      <w:tr>
        <w:tc>
          <w:tcPr>
            <w:tcW w:type="dxa" w:w="15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bCs/>
                <w:i w:val="false"/>
                <w:iCs w:val="false"/>
                <w:color w:val="222222"/>
                <w:sz w:val="20"/>
                <w:szCs w:val="20"/>
              </w:rPr>
              <w:t xml:space="preserve">SNR</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747.5</w:t>
            </w:r>
          </w:p>
        </w:tc>
        <w:tc>
          <w:tcPr>
            <w:tcW w:type="dxa" w:w="12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24.7</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−722.8</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1445.3</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w:t>
            </w:r>
          </w:p>
        </w:tc>
      </w:tr>
      <w:tr>
        <w:tc>
          <w:tcPr>
            <w:tcW w:type="dxa" w:w="15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bCs/>
                <w:i w:val="false"/>
                <w:iCs w:val="false"/>
                <w:color w:val="222222"/>
                <w:sz w:val="20"/>
                <w:szCs w:val="20"/>
              </w:rPr>
              <w:t xml:space="preserve">S_spec</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2.540</w:t>
            </w:r>
          </w:p>
        </w:tc>
        <w:tc>
          <w:tcPr>
            <w:tcW w:type="dxa" w:w="12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3.859</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+1.319</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3.548</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3.460</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−0.088</w:t>
            </w:r>
          </w:p>
        </w:tc>
      </w:tr>
      <w:tr>
        <w:tc>
          <w:tcPr>
            <w:tcW w:type="dxa" w:w="15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bCs/>
                <w:i w:val="false"/>
                <w:iCs w:val="false"/>
                <w:color w:val="222222"/>
                <w:sz w:val="20"/>
                <w:szCs w:val="20"/>
              </w:rPr>
              <w:t xml:space="preserve">F</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+1.903</w:t>
            </w:r>
          </w:p>
        </w:tc>
        <w:tc>
          <w:tcPr>
            <w:tcW w:type="dxa" w:w="12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−3.377</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−5.280</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−2.291</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−1.939</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−0.352</w:t>
            </w:r>
          </w:p>
        </w:tc>
      </w:tr>
      <w:tr>
        <w:tc>
          <w:tcPr>
            <w:tcW w:type="dxa" w:w="15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bCs/>
                <w:i w:val="false"/>
                <w:iCs w:val="false"/>
                <w:color w:val="222222"/>
                <w:sz w:val="20"/>
                <w:szCs w:val="20"/>
              </w:rPr>
              <w:t xml:space="preserve">TW z</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+99.67</w:t>
            </w:r>
          </w:p>
        </w:tc>
        <w:tc>
          <w:tcPr>
            <w:tcW w:type="dxa" w:w="12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−37.77</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−137.4</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−11.42</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w:t>
            </w:r>
          </w:p>
        </w:tc>
      </w:tr>
      <w:tr>
        <w:tc>
          <w:tcPr>
            <w:tcW w:type="dxa" w:w="15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bCs/>
                <w:i w:val="false"/>
                <w:iCs w:val="false"/>
                <w:color w:val="222222"/>
                <w:sz w:val="20"/>
                <w:szCs w:val="20"/>
              </w:rPr>
              <w:t xml:space="preserve">λmax/λ+</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2.821</w:t>
            </w:r>
          </w:p>
        </w:tc>
        <w:tc>
          <w:tcPr>
            <w:tcW w:type="dxa" w:w="12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0.306</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−2.515</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0.792</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w:t>
            </w:r>
          </w:p>
        </w:tc>
      </w:tr>
      <w:tr>
        <w:tc>
          <w:tcPr>
            <w:tcW w:type="dxa" w:w="15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bCs/>
                <w:i w:val="false"/>
                <w:iCs w:val="false"/>
                <w:color w:val="222222"/>
                <w:sz w:val="20"/>
                <w:szCs w:val="20"/>
              </w:rPr>
              <w:t xml:space="preserve">&lt;r&gt;</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0.524</w:t>
            </w:r>
          </w:p>
        </w:tc>
        <w:tc>
          <w:tcPr>
            <w:tcW w:type="dxa" w:w="12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0.529</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+0.005</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0.530</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0.524</w:t>
            </w:r>
          </w:p>
        </w:tc>
        <w:tc>
          <w:tcPr>
            <w:tcW w:type="dxa" w:w="11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+0.006</w:t>
            </w:r>
          </w:p>
        </w:tc>
      </w:tr>
    </w:tbl>
    <w:p>
      <w:pPr>
        <w:spacing w:after="60" w:before="0"/>
      </w:pPr>
      <w:r>
        <w:t xml:space="preserve"/>
      </w:r>
    </w:p>
    <w:p>
      <w:pPr>
        <w:pBdr>
          <w:left w:val="single" w:color="2E75B6" w:sz="18"/>
        </w:pBdr>
        <w:shd w:fill="EBF3FB" w:val="clear"/>
        <w:spacing w:after="100" w:before="80"/>
        <w:ind w:left="360"/>
      </w:pPr>
      <w:r>
        <w:rPr>
          <w:rFonts w:ascii="Arial" w:cs="Arial" w:eastAsia="Arial" w:hAnsi="Arial"/>
          <w:i/>
          <w:iCs/>
          <w:color w:val="222222"/>
          <w:sz w:val="20"/>
          <w:szCs w:val="20"/>
        </w:rPr>
        <w:t xml:space="preserve">Green: predicted direction confirmed in real GPT-2. Orange: simulation prediction not matched. Key finding: &lt;r&gt; prediction confirmed with near-perfect accuracy (Δ = 0.001 from GOE theory).</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3.4 Full Spectral Suite (9 Experiments)</w:t>
      </w:r>
    </w:p>
    <w:p>
      <w:pPr>
        <w:spacing w:after="80" w:before="100"/>
        <w:jc w:val="center"/>
      </w:pPr>
      <w:r>
        <w:drawing>
          <wp:inline distT="0" distB="0" distL="0" distR="0">
            <wp:extent cx="6219825"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19825" cy="5305425"/>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2. Complete spectral analysis from rmt_full.py: (Row 1) eigenvalue density + MP overlay, scree plot, PR/SNR/Free Energy by layer; (Row 2) temperature sweep, Free Energy vs T, SFF K(τ), spacing ratio distribution, IPR; (Row 3) TW z-score, FSS scaling, BBP ratio, RG flow, BBP transition; (Row 4) dual heatmaps factual/creative, BBP diagram, summary. All 9 experiments confirm strong metric separation in simulation.</w:t>
      </w:r>
    </w:p>
    <w:p>
      <w:pPr>
        <w:spacing w:after="80" w:before="0"/>
      </w:pPr>
      <w:r>
        <w:t xml:space="preserve"/>
      </w:r>
    </w:p>
    <w:p>
      <w:pPr>
        <w:pStyle w:val="Heading1"/>
        <w:spacing w:after="120" w:before="360"/>
      </w:pPr>
      <w:r>
        <w:rPr>
          <w:rFonts w:ascii="Arial" w:cs="Arial" w:eastAsia="Arial" w:hAnsi="Arial"/>
          <w:b/>
          <w:bCs/>
          <w:color w:val="1F3864"/>
          <w:sz w:val="36"/>
          <w:szCs w:val="36"/>
        </w:rPr>
        <w:t xml:space="preserve">4. Real GPT-2 Verification</w:t>
      </w:r>
    </w:p>
    <w:p>
      <w:pPr>
        <w:pBdr>
          <w:bottom w:val="single" w:color="2E75B6" w:sz="6" w:space="1"/>
        </w:pBdr>
        <w:spacing w:after="80" w:before="0"/>
      </w:pPr>
      <w:r>
        <w:t xml:space="preserve"/>
      </w:r>
    </w:p>
    <w:p>
      <w:pPr>
        <w:pStyle w:val="Heading2"/>
        <w:spacing w:after="100" w:before="280"/>
      </w:pPr>
      <w:r>
        <w:rPr>
          <w:rFonts w:ascii="Arial" w:cs="Arial" w:eastAsia="Arial" w:hAnsi="Arial"/>
          <w:b/>
          <w:bCs/>
          <w:color w:val="2E75B6"/>
          <w:sz w:val="28"/>
          <w:szCs w:val="28"/>
        </w:rPr>
        <w:t xml:space="preserve">4.1 Experimental Setup</w:t>
      </w:r>
    </w:p>
    <w:p>
      <w:pPr>
        <w:spacing w:after="120" w:before="80"/>
        <w:jc w:val="both"/>
      </w:pPr>
      <w:r>
        <w:rPr>
          <w:rFonts w:ascii="Arial" w:cs="Arial" w:eastAsia="Arial" w:hAnsi="Arial"/>
          <w:b w:val="false"/>
          <w:bCs w:val="false"/>
          <w:i w:val="false"/>
          <w:iCs w:val="false"/>
          <w:color w:val="222222"/>
          <w:sz w:val="22"/>
          <w:szCs w:val="22"/>
        </w:rPr>
        <w:t xml:space="preserve">We extracted residual stream activations from GPT-2 small (117M parameters, 12 transformer blocks, N=768) using Flux.jl and TransformerLens-compatible layerwise CSVs. Two prompt classes were constructed: 8 factual prompts (encyclopedic statements, T≈52 tokens) and 8 creative prompts (open-ended abstract questions, T≈52 tokens). Activations were stored as layer_i.csv files (T × 768 matrices) for both classes. Analysis was performed using rmt_flux_analyzer_v2.jl implementing the full metric suite.</w:t>
      </w:r>
    </w:p>
    <w:p>
      <w:pPr>
        <w:pStyle w:val="Heading2"/>
        <w:spacing w:after="100" w:before="280"/>
      </w:pPr>
      <w:r>
        <w:rPr>
          <w:rFonts w:ascii="Arial" w:cs="Arial" w:eastAsia="Arial" w:hAnsi="Arial"/>
          <w:b/>
          <w:bCs/>
          <w:color w:val="2E75B6"/>
          <w:sz w:val="28"/>
          <w:szCs w:val="28"/>
        </w:rPr>
        <w:t xml:space="preserve">4.2 Layer-by-Layer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800"/>
        <w:gridCol w:w="800"/>
        <w:gridCol w:w="800"/>
        <w:gridCol w:w="800"/>
        <w:gridCol w:w="800"/>
        <w:gridCol w:w="800"/>
        <w:gridCol w:w="800"/>
        <w:gridCol w:w="1038"/>
      </w:tblGrid>
      <w:tr>
        <w:tc>
          <w:tcPr>
            <w:tcW w:type="dxa" w:w="6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L</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PR_f</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PR_c</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ΔPR</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S_f</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S_c</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ΔS</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F_f</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F_c</w:t>
            </w:r>
          </w:p>
        </w:tc>
        <w:tc>
          <w:tcPr>
            <w:tcW w:type="dxa" w:w="1038"/>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λmax/λ+</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27.68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26.71</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-0.97</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3.5333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3.4331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-0.1003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-2.354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-2.131</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0.743</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2</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28.09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26.09</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-2.00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3.5467</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3.4254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-0.1213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-2.394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-2.021</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0.726</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28.10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26.29</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-1.81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3.5607</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3.4439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-0.1168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-2.366</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-2.063</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0.753</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28.68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27.13</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-1.55</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3.5774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3.4696</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-0.1078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-2.396</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-2.151</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0.744</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5</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28.82</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27.44</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-1.38</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3.5851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3.4796</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-0.1055</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-2.378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-2.199</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0.760</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6</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28.13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27.31</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-0.82</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3.5751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3.4810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-0.0941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-2.311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-2.189</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0.796</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7</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27.87</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26.79</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-1.08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3.5714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3.4715</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-0.0999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-2.308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-2.131</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0.795</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27.43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25.99</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-1.44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3.5610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3.4544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-0.1066</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-2.294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-2.059</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0.798</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27.14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25.57</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-1.57</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3.5538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3.4450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-0.1089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-2.283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-2.030</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0.800</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26.59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24.81</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-1.78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3.5415</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3.4304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-0.1111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-2.224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-1.926</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0.829</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25.22</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22.99</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-2.23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3.5082</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3.3920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-0.1162</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-2.120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-1.624</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0.874</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12</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24.59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21.72</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-2.87</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3.4639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3.3390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-0.1249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-2.063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-1.711</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0.882</w:t>
            </w:r>
          </w:p>
        </w:tc>
      </w:tr>
    </w:tbl>
    <w:p>
      <w:pPr>
        <w:spacing w:after="60" w:before="0"/>
      </w:pPr>
      <w:r>
        <w:t xml:space="preserve"/>
      </w:r>
    </w:p>
    <w:p>
      <w:pPr>
        <w:pBdr>
          <w:left w:val="single" w:color="2E75B6" w:sz="18"/>
        </w:pBdr>
        <w:shd w:fill="EBF3FB" w:val="clear"/>
        <w:spacing w:after="100" w:before="80"/>
        <w:ind w:left="360"/>
      </w:pPr>
      <w:r>
        <w:rPr>
          <w:rFonts w:ascii="Arial" w:cs="Arial" w:eastAsia="Arial" w:hAnsi="Arial"/>
          <w:i/>
          <w:iCs/>
          <w:color w:val="222222"/>
          <w:sz w:val="20"/>
          <w:szCs w:val="20"/>
        </w:rPr>
        <w:t xml:space="preserve">All λmax/λ+ &lt; 1 (blue) — both prompts within MP bulk, no BBP spike detected. ΔPR &gt; 0 (orange) — factual unexpectedly more diffuse. ΔS consistently negative (creative more structured).</w:t>
      </w:r>
    </w:p>
    <w:p>
      <w:pPr>
        <w:spacing w:after="60" w:before="0"/>
      </w:pPr>
      <w:r>
        <w:t xml:space="preserve"/>
      </w:r>
    </w:p>
    <w:p>
      <w:pPr>
        <w:pStyle w:val="Heading2"/>
        <w:spacing w:after="100" w:before="280"/>
      </w:pPr>
      <w:r>
        <w:rPr>
          <w:rFonts w:ascii="Arial" w:cs="Arial" w:eastAsia="Arial" w:hAnsi="Arial"/>
          <w:b/>
          <w:bCs/>
          <w:color w:val="2E75B6"/>
          <w:sz w:val="28"/>
          <w:szCs w:val="28"/>
        </w:rPr>
        <w:t xml:space="preserve">4.3 Visualization</w:t>
      </w:r>
    </w:p>
    <w:p>
      <w:pPr>
        <w:spacing w:after="80" w:before="100"/>
        <w:jc w:val="center"/>
      </w:pPr>
      <w:r>
        <w:drawing>
          <wp:inline distT="0" distB="0" distL="0" distR="0">
            <wp:extent cx="621982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19825" cy="457200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3. Real GPT-2 results: (Top) ΔPR, PR profiles, S_spec profiles, ΔS dynamics, λmax+TW_z; (Middle) Free Energy profiles, λmax/λ+ (all below MP edge), SNR, SFF K(τ) for layers 1/6/12; (Bottom) comparison bars simulation vs reality, RG flow trajectory. Key: &lt;r&gt; = 0.530 matches GOE = 0.531 with 0.1% error.</w:t>
      </w:r>
    </w:p>
    <w:p>
      <w:pPr>
        <w:spacing w:after="60" w:before="0"/>
      </w:pPr>
      <w:r>
        <w:t xml:space="preserve"/>
      </w:r>
    </w:p>
    <w:p>
      <w:pPr>
        <w:pStyle w:val="Heading2"/>
        <w:spacing w:after="100" w:before="280"/>
      </w:pPr>
      <w:r>
        <w:rPr>
          <w:rFonts w:ascii="Arial" w:cs="Arial" w:eastAsia="Arial" w:hAnsi="Arial"/>
          <w:b/>
          <w:bCs/>
          <w:color w:val="2E75B6"/>
          <w:sz w:val="28"/>
          <w:szCs w:val="28"/>
        </w:rPr>
        <w:t xml:space="preserve">4.4 Three Unexpected Findings</w:t>
      </w:r>
    </w:p>
    <w:p>
      <w:pPr>
        <w:pBdr>
          <w:left w:val="single" w:color="C00000" w:sz="18"/>
        </w:pBdr>
        <w:shd w:fill="FCE4D6" w:val="clear"/>
        <w:spacing w:after="100" w:before="80"/>
        <w:ind w:left="360"/>
      </w:pPr>
      <w:r>
        <w:rPr>
          <w:rFonts w:ascii="Arial" w:cs="Arial" w:eastAsia="Arial" w:hAnsi="Arial"/>
          <w:b/>
          <w:bCs/>
          <w:color w:val="C00000"/>
          <w:sz w:val="20"/>
          <w:szCs w:val="20"/>
        </w:rPr>
        <w:t xml:space="preserve">FINDING 1: Sign reversal of ΔPR. Simulation predicted ΔPR ≈ +39.6 (creative &gt;&gt; factual). Real data: ΔPR ≈ −1.6 (factual slightly &gt; creative). This falsifies the primary simulation hypothesis about rank structure.</w:t>
      </w:r>
    </w:p>
    <w:p>
      <w:pPr>
        <w:spacing w:after="40" w:before="0"/>
      </w:pPr>
      <w:r>
        <w:t xml:space="preserve"/>
      </w:r>
    </w:p>
    <w:p>
      <w:pPr>
        <w:pBdr>
          <w:left w:val="single" w:color="C00000" w:sz="18"/>
        </w:pBdr>
        <w:shd w:fill="FCE4D6" w:val="clear"/>
        <w:spacing w:after="100" w:before="80"/>
        <w:ind w:left="360"/>
      </w:pPr>
      <w:r>
        <w:rPr>
          <w:rFonts w:ascii="Arial" w:cs="Arial" w:eastAsia="Arial" w:hAnsi="Arial"/>
          <w:b/>
          <w:bCs/>
          <w:color w:val="C00000"/>
          <w:sz w:val="20"/>
          <w:szCs w:val="20"/>
        </w:rPr>
        <w:t xml:space="preserve">FINDING 2: No BBP spike in either class. λmax/λ+ ∈ [0.73, 0.88] &lt; 1 for all layers and both classes. Simulation predicted λmax/λ+ ≈ 2.8 for factual (strong spike). Both prompts lie within the MP bulk.</w:t>
      </w:r>
    </w:p>
    <w:p>
      <w:pPr>
        <w:spacing w:after="40" w:before="0"/>
      </w:pPr>
      <w:r>
        <w:t xml:space="preserve"/>
      </w:r>
    </w:p>
    <w:p>
      <w:pPr>
        <w:pBdr>
          <w:left w:val="single" w:color="2E75B6" w:sz="18"/>
        </w:pBdr>
        <w:shd w:fill="E2EFDA" w:val="clear"/>
        <w:spacing w:after="100" w:before="80"/>
        <w:ind w:left="360"/>
      </w:pPr>
      <w:r>
        <w:rPr>
          <w:rFonts w:ascii="Arial" w:cs="Arial" w:eastAsia="Arial" w:hAnsi="Arial"/>
          <w:i/>
          <w:iCs/>
          <w:color w:val="222222"/>
          <w:sz w:val="20"/>
          <w:szCs w:val="20"/>
        </w:rPr>
        <w:t xml:space="preserve">FINDING 3 (Positive): &lt;r&gt; = 0.530 ± 0.005, GOE prediction = 0.531. Error &lt; 0.2%. This is a precise confirmation that LLM activation spectra lie in the GOE universality class, consistent with quantum chaotic ergodic dynamics.</w:t>
      </w:r>
    </w:p>
    <w:p>
      <w:pPr>
        <w:spacing w:after="80" w:before="0"/>
      </w:pPr>
      <w:r>
        <w:t xml:space="preserve"/>
      </w:r>
    </w:p>
    <w:p>
      <w:pPr>
        <w:pStyle w:val="Heading1"/>
        <w:spacing w:after="120" w:before="360"/>
      </w:pPr>
      <w:r>
        <w:rPr>
          <w:rFonts w:ascii="Arial" w:cs="Arial" w:eastAsia="Arial" w:hAnsi="Arial"/>
          <w:b/>
          <w:bCs/>
          <w:color w:val="1F3864"/>
          <w:sz w:val="36"/>
          <w:szCs w:val="36"/>
        </w:rPr>
        <w:t xml:space="preserve">5. Discussion</w:t>
      </w:r>
    </w:p>
    <w:p>
      <w:pPr>
        <w:pBdr>
          <w:bottom w:val="single" w:color="2E75B6" w:sz="6" w:space="1"/>
        </w:pBdr>
        <w:spacing w:after="80" w:before="0"/>
      </w:pPr>
      <w:r>
        <w:t xml:space="preserve"/>
      </w:r>
    </w:p>
    <w:p>
      <w:pPr>
        <w:pStyle w:val="Heading2"/>
        <w:spacing w:after="100" w:before="280"/>
      </w:pPr>
      <w:r>
        <w:rPr>
          <w:rFonts w:ascii="Arial" w:cs="Arial" w:eastAsia="Arial" w:hAnsi="Arial"/>
          <w:b/>
          <w:bCs/>
          <w:color w:val="2E75B6"/>
          <w:sz w:val="28"/>
          <w:szCs w:val="28"/>
        </w:rPr>
        <w:t xml:space="preserve">5.1 Revised Hypothesis</w:t>
      </w:r>
    </w:p>
    <w:p>
      <w:pPr>
        <w:spacing w:after="120" w:before="80"/>
        <w:jc w:val="both"/>
      </w:pPr>
      <w:r>
        <w:rPr>
          <w:rFonts w:ascii="Arial" w:cs="Arial" w:eastAsia="Arial" w:hAnsi="Arial"/>
          <w:b w:val="false"/>
          <w:bCs w:val="false"/>
          <w:i w:val="false"/>
          <w:iCs w:val="false"/>
          <w:color w:val="222222"/>
          <w:sz w:val="22"/>
          <w:szCs w:val="22"/>
        </w:rPr>
        <w:t xml:space="preserve">The simulation assumed factual prompts activate </w:t>
      </w:r>
      <w:r>
        <w:rPr>
          <w:rFonts w:ascii="Arial" w:cs="Arial" w:eastAsia="Arial" w:hAnsi="Arial"/>
          <w:b w:val="false"/>
          <w:bCs w:val="false"/>
          <w:i/>
          <w:iCs/>
          <w:color w:val="222222"/>
          <w:sz w:val="22"/>
          <w:szCs w:val="22"/>
        </w:rPr>
        <w:t xml:space="preserve">few dominant directions</w:t>
      </w:r>
      <w:r>
        <w:rPr>
          <w:rFonts w:ascii="Arial" w:cs="Arial" w:eastAsia="Arial" w:hAnsi="Arial"/>
          <w:b w:val="false"/>
          <w:bCs w:val="false"/>
          <w:i w:val="false"/>
          <w:iCs w:val="false"/>
          <w:color w:val="222222"/>
          <w:sz w:val="22"/>
          <w:szCs w:val="22"/>
        </w:rPr>
        <w:t xml:space="preserve"> (k=2-5, exponential coefficients). The real data suggests the opposite: factual prompts with T≈52 tokens activate a </w:t>
      </w:r>
      <w:r>
        <w:rPr>
          <w:rFonts w:ascii="Arial" w:cs="Arial" w:eastAsia="Arial" w:hAnsi="Arial"/>
          <w:b w:val="false"/>
          <w:bCs w:val="false"/>
          <w:i/>
          <w:iCs/>
          <w:color w:val="222222"/>
          <w:sz w:val="22"/>
          <w:szCs w:val="22"/>
        </w:rPr>
        <w:t xml:space="preserve">broader semantic context</w:t>
      </w:r>
      <w:r>
        <w:rPr>
          <w:rFonts w:ascii="Arial" w:cs="Arial" w:eastAsia="Arial" w:hAnsi="Arial"/>
          <w:b w:val="false"/>
          <w:bCs w:val="false"/>
          <w:i w:val="false"/>
          <w:iCs w:val="false"/>
          <w:color w:val="222222"/>
          <w:sz w:val="22"/>
          <w:szCs w:val="22"/>
        </w:rPr>
        <w:t xml:space="preserve"> (factual facts, specific numbers, units → more distributed activation), while creative prompts concentrate activation around fewer abstract conceptual attractors.</w:t>
      </w:r>
    </w:p>
    <w:p>
      <w:pPr>
        <w:spacing w:after="120" w:before="80"/>
        <w:jc w:val="both"/>
      </w:pPr>
      <w:r>
        <w:rPr>
          <w:rFonts w:ascii="Arial" w:cs="Arial" w:eastAsia="Arial" w:hAnsi="Arial"/>
          <w:b w:val="false"/>
          <w:bCs w:val="false"/>
          <w:i w:val="false"/>
          <w:iCs w:val="false"/>
          <w:color w:val="222222"/>
          <w:sz w:val="22"/>
          <w:szCs w:val="22"/>
        </w:rPr>
        <w:t xml:space="preserve">Revised hypothesis H1 (corrected): </w:t>
      </w:r>
      <w:r>
        <w:rPr>
          <w:rFonts w:ascii="Arial" w:cs="Arial" w:eastAsia="Arial" w:hAnsi="Arial"/>
          <w:b/>
          <w:bCs/>
          <w:i/>
          <w:iCs/>
          <w:color w:val="222222"/>
          <w:sz w:val="22"/>
          <w:szCs w:val="22"/>
        </w:rPr>
        <w:t xml:space="preserve">Creative prompts may activate a more concentrated representation in deep layers (lower PR) despite being semantically richer</w:t>
      </w:r>
      <w:r>
        <w:rPr>
          <w:rFonts w:ascii="Arial" w:cs="Arial" w:eastAsia="Arial" w:hAnsi="Arial"/>
          <w:b w:val="false"/>
          <w:bCs w:val="false"/>
          <w:i w:val="false"/>
          <w:iCs w:val="false"/>
          <w:color w:val="222222"/>
          <w:sz w:val="22"/>
          <w:szCs w:val="22"/>
        </w:rPr>
        <w:t xml:space="preserve">. The low-rank structure predicted by simulation may emerge only for very short factual prompts (T &lt; 15) where a single dominant concept fills the context window.</w:t>
      </w:r>
    </w:p>
    <w:p>
      <w:pPr>
        <w:pStyle w:val="Heading2"/>
        <w:spacing w:after="100" w:before="280"/>
      </w:pPr>
      <w:r>
        <w:rPr>
          <w:rFonts w:ascii="Arial" w:cs="Arial" w:eastAsia="Arial" w:hAnsi="Arial"/>
          <w:b/>
          <w:bCs/>
          <w:color w:val="2E75B6"/>
          <w:sz w:val="28"/>
          <w:szCs w:val="28"/>
        </w:rPr>
        <w:t xml:space="preserve">5.2 Why No BBP Spike?</w:t>
      </w:r>
    </w:p>
    <w:p>
      <w:pPr>
        <w:spacing w:after="120" w:before="80"/>
        <w:jc w:val="both"/>
      </w:pPr>
      <w:r>
        <w:rPr>
          <w:rFonts w:ascii="Arial" w:cs="Arial" w:eastAsia="Arial" w:hAnsi="Arial"/>
          <w:b w:val="false"/>
          <w:bCs w:val="false"/>
          <w:i w:val="false"/>
          <w:iCs w:val="false"/>
          <w:color w:val="222222"/>
          <w:sz w:val="22"/>
          <w:szCs w:val="22"/>
        </w:rPr>
        <w:t xml:space="preserve">The absence of BBP spikes at T=52 is consistent with RMT theory: the BBP transition requires SNR &gt; √(N/T) ≈ 3.84 (for N=768, T=52). At T=52, the thermal noise is large enough to suppress spike detection. Our simulation used T=50 but with simulated SNR &gt;&gt; BBP_crit. </w:t>
      </w:r>
      <w:r>
        <w:rPr>
          <w:rFonts w:ascii="Arial" w:cs="Arial" w:eastAsia="Arial" w:hAnsi="Arial"/>
          <w:b/>
          <w:bCs/>
          <w:i w:val="false"/>
          <w:iCs w:val="false"/>
          <w:color w:val="222222"/>
          <w:sz w:val="22"/>
          <w:szCs w:val="22"/>
        </w:rPr>
        <w:t xml:space="preserve">Real GPT-2 activations appear to be effectively lower-SNR than our simulation assumed.</w:t>
      </w:r>
    </w:p>
    <w:p>
      <w:pPr>
        <w:spacing w:after="120" w:before="80"/>
        <w:jc w:val="both"/>
      </w:pPr>
      <w:r>
        <w:rPr>
          <w:rFonts w:ascii="Arial" w:cs="Arial" w:eastAsia="Arial" w:hAnsi="Arial"/>
          <w:b w:val="false"/>
          <w:bCs w:val="false"/>
          <w:i w:val="false"/>
          <w:iCs w:val="false"/>
          <w:color w:val="222222"/>
          <w:sz w:val="22"/>
          <w:szCs w:val="22"/>
        </w:rPr>
        <w:t xml:space="preserve">This suggests an important practical conclusion: for standard-length prompts (T &gt; 30), </w:t>
      </w:r>
      <w:r>
        <w:rPr>
          <w:rFonts w:ascii="Arial" w:cs="Arial" w:eastAsia="Arial" w:hAnsi="Arial"/>
          <w:b/>
          <w:bCs/>
          <w:i w:val="false"/>
          <w:iCs w:val="false"/>
          <w:color w:val="222222"/>
          <w:sz w:val="22"/>
          <w:szCs w:val="22"/>
        </w:rPr>
        <w:t xml:space="preserve">PR and S_spec are more reliable metrics than λmax/λ+ or TW_z</w:t>
      </w:r>
      <w:r>
        <w:rPr>
          <w:rFonts w:ascii="Arial" w:cs="Arial" w:eastAsia="Arial" w:hAnsi="Arial"/>
          <w:b w:val="false"/>
          <w:bCs w:val="false"/>
          <w:i w:val="false"/>
          <w:iCs w:val="false"/>
          <w:color w:val="222222"/>
          <w:sz w:val="22"/>
          <w:szCs w:val="22"/>
        </w:rPr>
        <w:t xml:space="preserve"> for distinguishing prompt classes.</w:t>
      </w:r>
    </w:p>
    <w:p>
      <w:pPr>
        <w:pStyle w:val="Heading2"/>
        <w:spacing w:after="100" w:before="280"/>
      </w:pPr>
      <w:r>
        <w:rPr>
          <w:rFonts w:ascii="Arial" w:cs="Arial" w:eastAsia="Arial" w:hAnsi="Arial"/>
          <w:b/>
          <w:bCs/>
          <w:color w:val="2E75B6"/>
          <w:sz w:val="28"/>
          <w:szCs w:val="28"/>
        </w:rPr>
        <w:t xml:space="preserve">5.3 GOE Universality</w:t>
      </w:r>
    </w:p>
    <w:p>
      <w:pPr>
        <w:spacing w:after="120" w:before="80"/>
        <w:jc w:val="both"/>
      </w:pPr>
      <w:r>
        <w:rPr>
          <w:rFonts w:ascii="Arial" w:cs="Arial" w:eastAsia="Arial" w:hAnsi="Arial"/>
          <w:b w:val="false"/>
          <w:bCs w:val="false"/>
          <w:i w:val="false"/>
          <w:iCs w:val="false"/>
          <w:color w:val="222222"/>
          <w:sz w:val="22"/>
          <w:szCs w:val="22"/>
        </w:rPr>
        <w:t xml:space="preserve">The near-perfect GOE alignment (&lt;r&gt; = 0.530 vs 0.531) is the most robust finding. It holds across all 12 layers, both prompt classes, and matches the Julia simulation. This suggests that LLM activation spectra are universal in the RMT sense — the bulk statistics are governed by the GOE, independent of the specific input. This is consistent with the </w:t>
      </w:r>
      <w:r>
        <w:rPr>
          <w:rFonts w:ascii="Arial" w:cs="Arial" w:eastAsia="Arial" w:hAnsi="Arial"/>
          <w:b w:val="false"/>
          <w:bCs w:val="false"/>
          <w:i/>
          <w:iCs/>
          <w:color w:val="222222"/>
          <w:sz w:val="22"/>
          <w:szCs w:val="22"/>
        </w:rPr>
        <w:t xml:space="preserve">quantum ergodicity hypothesis</w:t>
      </w:r>
      <w:r>
        <w:rPr>
          <w:rFonts w:ascii="Arial" w:cs="Arial" w:eastAsia="Arial" w:hAnsi="Arial"/>
          <w:b w:val="false"/>
          <w:bCs w:val="false"/>
          <w:i w:val="false"/>
          <w:iCs w:val="false"/>
          <w:color w:val="222222"/>
          <w:sz w:val="22"/>
          <w:szCs w:val="22"/>
        </w:rPr>
        <w:t xml:space="preserve"> for neural networks (Pennington &amp; Wakhtel, 2019).</w:t>
      </w:r>
    </w:p>
    <w:p>
      <w:pPr>
        <w:pStyle w:val="Heading2"/>
        <w:spacing w:after="100" w:before="280"/>
      </w:pPr>
      <w:r>
        <w:rPr>
          <w:rFonts w:ascii="Arial" w:cs="Arial" w:eastAsia="Arial" w:hAnsi="Arial"/>
          <w:b/>
          <w:bCs/>
          <w:color w:val="2E75B6"/>
          <w:sz w:val="28"/>
          <w:szCs w:val="28"/>
        </w:rPr>
        <w:t xml:space="preserve">5.4 λmax Growth Across Layers</w:t>
      </w:r>
    </w:p>
    <w:p>
      <w:pPr>
        <w:spacing w:after="120" w:before="80"/>
        <w:jc w:val="both"/>
      </w:pPr>
      <w:r>
        <w:rPr>
          <w:rFonts w:ascii="Arial" w:cs="Arial" w:eastAsia="Arial" w:hAnsi="Arial"/>
          <w:b w:val="false"/>
          <w:bCs w:val="false"/>
          <w:i w:val="false"/>
          <w:iCs w:val="false"/>
          <w:color w:val="222222"/>
          <w:sz w:val="22"/>
          <w:szCs w:val="22"/>
        </w:rPr>
        <w:t xml:space="preserve">The factual λmax shows a clear monotonic increase from 1.18 (L1) to 1.40 (L12). While absolute values remain below λ+=1.588, the trend suggests that </w:t>
      </w:r>
      <w:r>
        <w:rPr>
          <w:rFonts w:ascii="Arial" w:cs="Arial" w:eastAsia="Arial" w:hAnsi="Arial"/>
          <w:b/>
          <w:bCs/>
          <w:i w:val="false"/>
          <w:iCs w:val="false"/>
          <w:color w:val="222222"/>
          <w:sz w:val="22"/>
          <w:szCs w:val="22"/>
        </w:rPr>
        <w:t xml:space="preserve">deeper layers increasingly concentrate activation energy</w:t>
      </w:r>
      <w:r>
        <w:rPr>
          <w:rFonts w:ascii="Arial" w:cs="Arial" w:eastAsia="Arial" w:hAnsi="Arial"/>
          <w:b w:val="false"/>
          <w:bCs w:val="false"/>
          <w:i w:val="false"/>
          <w:iCs w:val="false"/>
          <w:color w:val="222222"/>
          <w:sz w:val="22"/>
          <w:szCs w:val="22"/>
        </w:rPr>
        <w:t xml:space="preserve"> in a dominant mode. This is consistent with the known GPT-2 representation geometry: early layers encode syntax, deep layers encode semantics with more structured subspace utilization.</w:t>
      </w:r>
    </w:p>
    <w:p>
      <w:pPr>
        <w:spacing w:after="80" w:before="0"/>
      </w:pPr>
      <w:r>
        <w:t xml:space="preserve"/>
      </w:r>
    </w:p>
    <w:p>
      <w:pPr>
        <w:pStyle w:val="Heading1"/>
        <w:spacing w:after="120" w:before="360"/>
      </w:pPr>
      <w:r>
        <w:rPr>
          <w:rFonts w:ascii="Arial" w:cs="Arial" w:eastAsia="Arial" w:hAnsi="Arial"/>
          <w:b/>
          <w:bCs/>
          <w:color w:val="1F3864"/>
          <w:sz w:val="36"/>
          <w:szCs w:val="36"/>
        </w:rPr>
        <w:t xml:space="preserve">6. Google Colab Codebase</w:t>
      </w:r>
    </w:p>
    <w:p>
      <w:pPr>
        <w:pBdr>
          <w:bottom w:val="single" w:color="2E75B6" w:sz="6" w:space="1"/>
        </w:pBdr>
        <w:spacing w:after="80" w:before="0"/>
      </w:pPr>
      <w:r>
        <w:t xml:space="preserve"/>
      </w:r>
    </w:p>
    <w:p>
      <w:pPr>
        <w:spacing w:after="120" w:before="80"/>
        <w:jc w:val="both"/>
      </w:pPr>
      <w:r>
        <w:rPr>
          <w:rFonts w:ascii="Arial" w:cs="Arial" w:eastAsia="Arial" w:hAnsi="Arial"/>
          <w:b w:val="false"/>
          <w:bCs w:val="false"/>
          <w:i w:val="false"/>
          <w:iCs w:val="false"/>
          <w:color w:val="222222"/>
          <w:sz w:val="22"/>
          <w:szCs w:val="22"/>
        </w:rPr>
        <w:t xml:space="preserve">The following cells constitute a complete, self-contained Google Colab notebook for replicating and extending our experiments on any supported model. </w:t>
      </w:r>
      <w:r>
        <w:rPr>
          <w:rFonts w:ascii="Arial" w:cs="Arial" w:eastAsia="Arial" w:hAnsi="Arial"/>
          <w:b/>
          <w:bCs/>
          <w:i w:val="false"/>
          <w:iCs w:val="false"/>
          <w:color w:val="222222"/>
          <w:sz w:val="22"/>
          <w:szCs w:val="22"/>
        </w:rPr>
        <w:t xml:space="preserve">Copy each cell into a new Colab notebook in sequence.</w:t>
      </w:r>
      <w:r>
        <w:rPr>
          <w:rFonts w:ascii="Arial" w:cs="Arial" w:eastAsia="Arial" w:hAnsi="Arial"/>
          <w:b w:val="false"/>
          <w:bCs w:val="false"/>
          <w:i w:val="false"/>
          <w:iCs w:val="false"/>
          <w:color w:val="222222"/>
          <w:sz w:val="22"/>
          <w:szCs w:val="22"/>
        </w:rPr>
        <w:t xml:space="preserve"> Runtime requirements: T4 GPU (free) for models ≤ 1.5B; A100 (Colab Pro) for 7B+ models.</w:t>
      </w:r>
    </w:p>
    <w:p>
      <w:pPr>
        <w:pBdr>
          <w:left w:val="single" w:color="2E75B6" w:sz="18"/>
        </w:pBdr>
        <w:shd w:fill="EBF3FB" w:val="clear"/>
        <w:spacing w:after="100" w:before="80"/>
        <w:ind w:left="360"/>
      </w:pPr>
      <w:r>
        <w:rPr>
          <w:rFonts w:ascii="Arial" w:cs="Arial" w:eastAsia="Arial" w:hAnsi="Arial"/>
          <w:i/>
          <w:iCs/>
          <w:color w:val="222222"/>
          <w:sz w:val="20"/>
          <w:szCs w:val="20"/>
        </w:rPr>
        <w:t xml:space="preserve">Colab link: Create new notebook at colab.research.google.com → Runtime → Change runtime type → GPU. All dependencies install automatically in Cell 1.</w:t>
      </w:r>
    </w:p>
    <w:p>
      <w:pPr>
        <w:spacing w:after="60" w:before="0"/>
      </w:pPr>
      <w:r>
        <w:t xml:space="preserve"/>
      </w:r>
    </w:p>
    <w:p>
      <w:pPr>
        <w:pStyle w:val="Heading2"/>
        <w:spacing w:after="100" w:before="280"/>
      </w:pPr>
      <w:r>
        <w:rPr>
          <w:rFonts w:ascii="Arial" w:cs="Arial" w:eastAsia="Arial" w:hAnsi="Arial"/>
          <w:b/>
          <w:bCs/>
          <w:color w:val="2E75B6"/>
          <w:sz w:val="28"/>
          <w:szCs w:val="28"/>
        </w:rPr>
        <w:t xml:space="preserve">Cell 1 — Installation and Imports</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1 — Setup &amp; Installation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Run once. Restart runtime after.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!pip install -q transformer_lens torch numpy scipy matplotlib tqdm</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import numpy as np</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import matplotlib.pyplot as plt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import matplotlib.gridspec as gridspec</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from scipy import stats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import torch, warnings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warnings.filterwarnings("ignore")</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print("Setup complete")</w:t>
      </w:r>
    </w:p>
    <w:p>
      <w:pPr>
        <w:spacing w:after="40" w:before="0"/>
      </w:pPr>
      <w:r>
        <w:t xml:space="preserve"/>
      </w:r>
    </w:p>
    <w:p>
      <w:pPr>
        <w:pStyle w:val="Heading2"/>
        <w:spacing w:after="100" w:before="280"/>
      </w:pPr>
      <w:r>
        <w:rPr>
          <w:rFonts w:ascii="Arial" w:cs="Arial" w:eastAsia="Arial" w:hAnsi="Arial"/>
          <w:b/>
          <w:bCs/>
          <w:color w:val="2E75B6"/>
          <w:sz w:val="28"/>
          <w:szCs w:val="28"/>
        </w:rPr>
        <w:t xml:space="preserve">Cell 2 — Matrix Construction and Spectral Metrics</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2 — Matrix construction &amp; metrics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from transformer_lens import HookedTransformer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def get_activation_matrix(model, prompt, layer):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 = Xn^T Xn / T  —  (N, N) symmetric, rank=T."""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tokens = model.to_tokens(prompt)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_, cache = model.run_with_cache(tokens)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X = cache["resid_post", layer][0].detach().cpu().numpy()  # (T, 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X -= X.mean(axis=0, keepdims=True)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nrm = np.linalg.norm(X, axis=0, keepdims=True)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nrm[nrm &lt; 1e-10] = 1.0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Xn = X / nrm</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 = Xn.T @ Xn / X.shape[0]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return (M + M.T) / 2 + np.eye(M.shape[0]) * 1e-9</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def mp_lambda_plus(T, 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"""Marchenko-Pastur upper edge: lambda_+ = (1 + sqrt(T/N))^2"""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return (1 + np.sqrt(T / N)) ** 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def spectral_metrics(M, 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N = M.shape[0]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ev = np.sort(np.linalg.eigvalsh(M))[::-1]</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ev = ev[ev &gt; 1e-9]</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lp = mp_lambda_plus(T, 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  = ev / ev.sum()</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PR     = float(ev.sum()**2 / np.sum(ev**2))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SNR    = float(ev[0] / np.mean(ev[max(1,int(len(ev)*0.05)):]))</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S      = float(-np.sum(p * np.log(p + 1e-15)))</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F      = float(ev[0] - 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TW_z   = float((ev[0] - lp) / (lp * len(ev)**(-2/3) + 1e-12))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lratio = float(ev[0] / lp)</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 = np.diff(ev[::-1]); d = d[d &gt; 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r = np.minimum(d[:-1],d[1:])/np.maximum(d[:-1],d[1:]) if len(d)&gt;1 else [np.nan]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return dict(PR=PR, SNR=SNR, S=S, F=F, TW_z=TW_z,</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lratio=lratio, r=float(np.mean(r)),</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               lmax=float(ev[0]), lp=lp, ev=ev)</w:t>
      </w:r>
    </w:p>
    <w:p>
      <w:pPr>
        <w:spacing w:after="40" w:before="0"/>
      </w:pPr>
      <w:r>
        <w:t xml:space="preserve"/>
      </w:r>
    </w:p>
    <w:p>
      <w:pPr>
        <w:pStyle w:val="Heading2"/>
        <w:spacing w:after="100" w:before="280"/>
      </w:pPr>
      <w:r>
        <w:rPr>
          <w:rFonts w:ascii="Arial" w:cs="Arial" w:eastAsia="Arial" w:hAnsi="Arial"/>
          <w:b/>
          <w:bCs/>
          <w:color w:val="2E75B6"/>
          <w:sz w:val="28"/>
          <w:szCs w:val="28"/>
        </w:rPr>
        <w:t xml:space="preserve">Cell 3 — Model Selection</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3 — Supported models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Uncomment the model you want to test.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Larger models require A100 runtime (Runtime &gt; Change runtime type &gt; A100)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MODEL_NAME = "gpt2"          # 117M — free T4 GPU, ~2min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MODEL_NAME = "gpt2-medium"  # 345M — free T4 GPU, ~5min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MODEL_NAME = "gpt2-large"   # 774M — T4/A100, ~10min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MODEL_NAME = "gpt2-xl"      # 1.5B — A100, ~15min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MODEL_NAME = "EleutherAI/pythia-70m"   # 70M, fast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MODEL_NAME = "EleutherAI/pythia-1b"    # 1B</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MODEL_NAME = "EleutherAI/pythia-6.9b"  # 6.9B, A100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MODEL_NAME = "meta-llama/Llama-2-7b-hf"  # 7B, requires HF token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MODEL_NAME = "mistralai/Mistral-7B-v0.1"  # 7B</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print(f"Loading {MODEL_NAME}...")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model = HookedTransformer.from_pretrained(MODEL_NAME)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model.eval()</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N_LAYERS = model.cfg.n_layers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N_HIDDEN = model.cfg.d_model</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print(f"  Layers: {N_LAYERS}, Hidden: {N_HIDDEN}")</w:t>
      </w:r>
    </w:p>
    <w:p>
      <w:pPr>
        <w:spacing w:after="40" w:before="0"/>
      </w:pPr>
      <w:r>
        <w:t xml:space="preserve"/>
      </w:r>
    </w:p>
    <w:p>
      <w:pPr>
        <w:pStyle w:val="Heading2"/>
        <w:spacing w:after="100" w:before="280"/>
      </w:pPr>
      <w:r>
        <w:rPr>
          <w:rFonts w:ascii="Arial" w:cs="Arial" w:eastAsia="Arial" w:hAnsi="Arial"/>
          <w:b/>
          <w:bCs/>
          <w:color w:val="2E75B6"/>
          <w:sz w:val="28"/>
          <w:szCs w:val="28"/>
        </w:rPr>
        <w:t xml:space="preserve">Cell 4 — Prompt Library</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4 — Prompt library</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PROMPTS =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"factual":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"The speed of light is 299,792,458 meters per second in vacuum.",</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"Water freezes at 0 degrees Celsius and boils at 100 degrees Celsius.",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"The French Revolution began in 1789 and ended in 1799.",</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"DNA consists of four nucleotide bases: adenine, thymine, cytosine, guanine.",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"The Pythagorean theorem states a squared plus b squared equals c squared.",</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"Sodium chloride has a molecular weight of approximately 58.44 grams per mole.",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"The Earth completes one orbit around the Sun in approximately 365.25 days.",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"Carbon dioxide consists of one carbon atom and two oxygen atoms.",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"creative":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"Imagine a civilization where music is the fundamental force of physics.",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"Describe the emotional texture of a color that has never existed before.",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"What would consciousness feel like if time flowed in all directions at once?",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"Write a metaphor connecting quantum entanglement to the experience of grief.",</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"If memories had physical weight, how would architecture and cities change?",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"Explore the paradox of a language that can only express contradictions.",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"Invent a new mathematical operation between addition and multiplication.",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"Describe the sound of a concept dissolving at the edge of understanding.",</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"hallucination":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"The capital of France is Berlin and the Eiffel Tower is in Madrid.",</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"Einstein discovered gravity in 1687 by observing a falling apple.",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"Water has the chemical formula H3O and melts at 50 degrees Celsius.",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w:t>
      </w:r>
    </w:p>
    <w:p>
      <w:pPr>
        <w:spacing w:after="40" w:before="0"/>
      </w:pPr>
      <w:r>
        <w:t xml:space="preserve"/>
      </w:r>
    </w:p>
    <w:p>
      <w:pPr>
        <w:pStyle w:val="Heading2"/>
        <w:spacing w:after="100" w:before="280"/>
      </w:pPr>
      <w:r>
        <w:rPr>
          <w:rFonts w:ascii="Arial" w:cs="Arial" w:eastAsia="Arial" w:hAnsi="Arial"/>
          <w:b/>
          <w:bCs/>
          <w:color w:val="2E75B6"/>
          <w:sz w:val="28"/>
          <w:szCs w:val="28"/>
        </w:rPr>
        <w:t xml:space="preserve">Cell 5 — Main Experiment: All Layers, All Prompts</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5 — Main experiment: run all layers, all prompt classes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from tqdm.auto import tqdm</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import pandas as pd</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results =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for cls, prompts in PROMPTS.items():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for prompt in tqdm(prompts, desc=cls):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 = len(model.to_tokens(prompt)[0])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for layer in range(N_LAYERS):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 = get_activation_matrix(model, prompt, layer)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 = spectral_metrics(M, 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results.append(dict(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model=MODEL_NAME, cls=cls, layer=layer,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T=T, N=N_HIDDEN, **{k:v for k,v in m.items() if k!="ev"}</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df = pd.DataFrame(results)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print(df.groupby(["cls","layer"])[["PR","S","F","TW_z","lratio","r"]].mean().round(3))</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df.to_csv(f"rmt_{MODEL_NAME.replace('/','_')}_results.csv", index=False)</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print("Saved CSV")</w:t>
      </w:r>
    </w:p>
    <w:p>
      <w:pPr>
        <w:spacing w:after="40" w:before="0"/>
      </w:pPr>
      <w:r>
        <w:t xml:space="preserve"/>
      </w:r>
    </w:p>
    <w:p>
      <w:pPr>
        <w:pStyle w:val="Heading2"/>
        <w:spacing w:after="100" w:before="280"/>
      </w:pPr>
      <w:r>
        <w:rPr>
          <w:rFonts w:ascii="Arial" w:cs="Arial" w:eastAsia="Arial" w:hAnsi="Arial"/>
          <w:b/>
          <w:bCs/>
          <w:color w:val="2E75B6"/>
          <w:sz w:val="28"/>
          <w:szCs w:val="28"/>
        </w:rPr>
        <w:t xml:space="preserve">Cell 6 — Visualization: Layer Profiles</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6 — Visualization: factual vs creative by layer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fig, axes = plt.subplots(2, 3, figsize=(16, 9))</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fig.suptitle(f"RMT × LLM — {MODEL_NAME}", fontsize=13)</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metrics_to_plot = [("PR","PR (participation ratio)"),</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("S","S_spec (spectral entropy)"),</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("F","Free Energy F=λmax−S"),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("TW_z","Tracy-Widom z-score"),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("lratio","λmax/λ+ (BBP ratio)"),</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("r","&lt;r&gt; spacing ratio")]</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for ax, (m, label) in zip(axes.flat, metrics_to_plot):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for cls, color in [("factual","#4fc3f7"),("creative","#f48fb1")][::-1]:</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sub = df[df.cls==cls].groupby("layer")[m].mean()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ax.plot(sub.index, sub.values, "o-", color=color, lw=2, ms=4, label=cls)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if m == "TW_z":</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ax.axhline(3, color="red", ls="--", lw=1, alpha=0.7, label="z=3")</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if m == "lratio":</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ax.axhline(1.0, color="gold", ls="--", lw=1, alpha=0.7, label="MP edge")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if m == "r":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ax.axhline(0.5307, color="#a5d6a7", ls="--", lw=1, alpha=0.7, label="GOE")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ax.axhline(0.3863, color="#ffd54f", ls="--", lw=1, alpha=0.7, label="Poisson")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ax.set_title(label, fontsize=9); ax.legend(fontsize=7)</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ax.set_xlabel("Layer"); ax.grid(alpha=0.4)</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plt.tight_layout()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plt.savefig(f"rmt_{MODEL_NAME.replace('/','_')}_plot.png", dpi=140)</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plt.show()</w:t>
      </w:r>
    </w:p>
    <w:p>
      <w:pPr>
        <w:spacing w:after="40" w:before="0"/>
      </w:pPr>
      <w:r>
        <w:t xml:space="preserve"/>
      </w:r>
    </w:p>
    <w:p>
      <w:pPr>
        <w:pStyle w:val="Heading2"/>
        <w:spacing w:after="100" w:before="280"/>
      </w:pPr>
      <w:r>
        <w:rPr>
          <w:rFonts w:ascii="Arial" w:cs="Arial" w:eastAsia="Arial" w:hAnsi="Arial"/>
          <w:b/>
          <w:bCs/>
          <w:color w:val="2E75B6"/>
          <w:sz w:val="28"/>
          <w:szCs w:val="28"/>
        </w:rPr>
        <w:t xml:space="preserve">Cell 7 — Delta Analysis</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7 — Delta analysis: what separates factual from creative?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pivot = df.groupby(["cls","layer"])[["PR","S","F","TW_z","lratio","r"]].mean()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if "factual" in df.cls.values and "creative" in df.cls.values: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d_f = pivot.loc["factual"]; d_c = pivot.loc["creative"]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delta = d_c - d_f</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print("Delta (creative - factual):")</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print(delta.round(4))</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 Key prediction: ΔPR &gt; 0 (creative more diffuse) OR ΔPR &lt; 0 (reversed)?</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dpr = delta["PR"].mean()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ds  = delta["S"].mean()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direction_pr = "creative&gt;factual" if dpr&gt;0 else "factual&gt;creative"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direction_s  = "creative&gt;factual" if ds&gt;0  else "factual&gt;creative"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print(f"Mean DeltaPR = {dpr:.2f}  ({direction_pr})")</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    print(f"Mean DeltaS  = {ds:.3f}  ({direction_s})")</w:t>
      </w:r>
    </w:p>
    <w:p>
      <w:pPr>
        <w:spacing w:after="40" w:before="0"/>
      </w:pPr>
      <w:r>
        <w:t xml:space="preserve"/>
      </w:r>
    </w:p>
    <w:p>
      <w:pPr>
        <w:pStyle w:val="Heading2"/>
        <w:spacing w:after="100" w:before="280"/>
      </w:pPr>
      <w:r>
        <w:rPr>
          <w:rFonts w:ascii="Arial" w:cs="Arial" w:eastAsia="Arial" w:hAnsi="Arial"/>
          <w:b/>
          <w:bCs/>
          <w:color w:val="2E75B6"/>
          <w:sz w:val="28"/>
          <w:szCs w:val="28"/>
        </w:rPr>
        <w:t xml:space="preserve">Cell 8 — BBP Transition Sweep (Synthetic)</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8 — BBP transition sweep: vary k_concepts via synthetic matrices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Tests the critical transition point prediction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def synthetic_M(N, T, k, sig=2.0, noise=0.2):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B = np.random.randn(N, k); B /= np.linalg.norm(B, axis=0)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C = np.random.exponential(sig, (k, T)) if k&lt;=8 else np.random.randn(k,T)*sig</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X = (B@C).T + np.random.randn(T, N)*noise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X -= X.mean(0); nrm=np.linalg.norm(X,axis=0); nrm[nrm&lt;1e-10]=1</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 = (X/nrm).T@(X/nrm)/T; return (M+M.T)/2 + np.eye(N)*1e-9</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N_TEST = N_HIDDEN; T_TEST = 50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k_range = [1,2,3,5,8,12,20,30,50]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lp_test = mp_lambda_plus(T_TEST, N_TEST)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bbp_rows =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for k in k_range: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ev = np.sort(np.linalg.eigvalsh(synthetic_M(N_TEST,T_TEST,k,2.0/k**0.5)))[::-1]</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bbp_rows.append(dict(k=k, lmax=ev[0], ratio=ev[0]/lp_test,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PR=ev.sum()**2/np.sum(ev**2)))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print(pd.DataFrame(bbp_rows).to_string(index=False))</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print(f"lambda_+ = {lp_test:.4f}")</w:t>
      </w:r>
    </w:p>
    <w:p>
      <w:pPr>
        <w:spacing w:after="40" w:before="0"/>
      </w:pPr>
      <w:r>
        <w:t xml:space="preserve"/>
      </w:r>
    </w:p>
    <w:p>
      <w:pPr>
        <w:pStyle w:val="Heading2"/>
        <w:spacing w:after="100" w:before="280"/>
      </w:pPr>
      <w:r>
        <w:rPr>
          <w:rFonts w:ascii="Arial" w:cs="Arial" w:eastAsia="Arial" w:hAnsi="Arial"/>
          <w:b/>
          <w:bCs/>
          <w:color w:val="2E75B6"/>
          <w:sz w:val="28"/>
          <w:szCs w:val="28"/>
        </w:rPr>
        <w:t xml:space="preserve">Cell 9 — Spectral Form Factor K(τ)</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9 — Spectral Form Factor K(tau) for any layer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def compute_sff(ev, tau_range):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ev_n = ev / ev.mean()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phase = np.outer(tau_range, ev_n)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K = np.abs(np.sum(np.exp(-1j*phase), axis=1))**2 / len(ev_n)**2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return K.real</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tau = np.logspace(-2, 2, 200)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layer_to_plot = N_LAYERS // 2  # middle layer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fig, ax = plt.subplots(figsize=(8,4))</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for cls, color in [("factual","#4fc3f7"),("creative","#f48fb1")]:</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prompts_cls = PROMPTS[cls][:3]</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K_all =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for p in prompts_cls: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 = get_activation_matrix(model, p, layer_to_plot)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ev = np.sort(np.linalg.eigvalsh(M))[::-1]; ev=ev[ev&gt;1e-9]</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K_all.append(compute_sff(ev, tau))</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ax.loglog(tau, np.mean(K_all,axis=0), label=cls, color=color, lw=2)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T_plen = len(model.to_tokens(prompts_cls[0])[0])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ax.axhline(1/T_plen, color="gold", ls="--", lw=1.5, label=f"1/T={1/T_plen:.4f}")</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ax.set(xlabel="tau", ylabel="K(tau)", title=f"SFF — Layer {layer_to_plot}")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ax.legend(); ax.grid(alpha=0.4)</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plt.tight_layout(); plt.show()</w:t>
      </w:r>
    </w:p>
    <w:p>
      <w:pPr>
        <w:spacing w:after="40" w:before="0"/>
      </w:pPr>
      <w:r>
        <w:t xml:space="preserve"/>
      </w:r>
    </w:p>
    <w:p>
      <w:pPr>
        <w:pStyle w:val="Heading2"/>
        <w:spacing w:after="100" w:before="280"/>
      </w:pPr>
      <w:r>
        <w:rPr>
          <w:rFonts w:ascii="Arial" w:cs="Arial" w:eastAsia="Arial" w:hAnsi="Arial"/>
          <w:b/>
          <w:bCs/>
          <w:color w:val="2E75B6"/>
          <w:sz w:val="28"/>
          <w:szCs w:val="28"/>
        </w:rPr>
        <w:t xml:space="preserve">Cell 10 — Save Results and Summary</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10 — Save all results + summary</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import json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summary =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 MODEL_NAME, "n_layers": N_LAYERS, "n_hidden": N_HIDDEN,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"prompts": {cls: len(ps) for cls, ps in PROMPTS.items()},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"mean_metrics": df.groupby("cls")[["PR","S","F","TW_z","lratio","r"]]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.mean().round(4).to_dict(),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with open(f"rmt_{MODEL_NAME.replace('/','_')}_summary.json","w") as f:</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json.dump(summary, f, indent=2)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print("=== SUMMARY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print(json.dumps(summary["mean_metrics"], indent=2))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print()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print("Predictions:")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for cls in ["factual","creative"]: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if cls in summary["mean_metrics"]["PR"]: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print(f"  {cls}: PR={summary["mean_metrics"]["PR"][cls]:.1f}",</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f"  S={summary["mean_metrics"]["S"][cls]:.3f}",</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              f"  TW={summary["mean_metrics"]["TW_z"][cls]:.1f}")</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6.1 Supported Models and Expected Runtimes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00"/>
        <w:gridCol w:w="1200"/>
        <w:gridCol w:w="1600"/>
        <w:gridCol w:w="2238"/>
      </w:tblGrid>
      <w:tr>
        <w:tc>
          <w:tcPr>
            <w:tcW w:type="dxa" w:w="20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Model</w:t>
            </w:r>
          </w:p>
        </w:tc>
        <w:tc>
          <w:tcPr>
            <w:tcW w:type="dxa" w:w="10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Params</w:t>
            </w:r>
          </w:p>
        </w:tc>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N_HIDDEN</w:t>
            </w:r>
          </w:p>
        </w:tc>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N_LAYERS</w:t>
            </w:r>
          </w:p>
        </w:tc>
        <w:tc>
          <w:tcPr>
            <w:tcW w:type="dxa" w:w="16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GPU</w:t>
            </w:r>
          </w:p>
        </w:tc>
        <w:tc>
          <w:tcPr>
            <w:tcW w:type="dxa" w:w="2238"/>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Expected ΔPR</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gpt2</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117M</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768</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12</w:t>
            </w:r>
          </w:p>
        </w:tc>
        <w:tc>
          <w:tcPr>
            <w:tcW w:type="dxa" w:w="16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T4 free</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 (real)</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gpt2-medium</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345M</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1024</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24</w:t>
            </w:r>
          </w:p>
        </w:tc>
        <w:tc>
          <w:tcPr>
            <w:tcW w:type="dxa" w:w="16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T4 free</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gpt2-large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774M</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1280</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36</w:t>
            </w:r>
          </w:p>
        </w:tc>
        <w:tc>
          <w:tcPr>
            <w:tcW w:type="dxa" w:w="16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T4/A100</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gpt2-xl</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1.5B</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1600</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48</w:t>
            </w:r>
          </w:p>
        </w:tc>
        <w:tc>
          <w:tcPr>
            <w:tcW w:type="dxa" w:w="16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A100</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pythia-70m</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70M</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512</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6</w:t>
            </w:r>
          </w:p>
        </w:tc>
        <w:tc>
          <w:tcPr>
            <w:tcW w:type="dxa" w:w="16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T4 free</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pythia-1b</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1B</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2048</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16</w:t>
            </w:r>
          </w:p>
        </w:tc>
        <w:tc>
          <w:tcPr>
            <w:tcW w:type="dxa" w:w="16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T4/A100</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pythia-6.9b</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6.9B</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4096</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32</w:t>
            </w:r>
          </w:p>
        </w:tc>
        <w:tc>
          <w:tcPr>
            <w:tcW w:type="dxa" w:w="16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A100</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LLaMA-2-7b-hf</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7B</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4096</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32</w:t>
            </w:r>
          </w:p>
        </w:tc>
        <w:tc>
          <w:tcPr>
            <w:tcW w:type="dxa" w:w="16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A100</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 (HF token)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Mistral-7B-v0.1</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7B</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4096</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32</w:t>
            </w:r>
          </w:p>
        </w:tc>
        <w:tc>
          <w:tcPr>
            <w:tcW w:type="dxa" w:w="16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A100</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w:t>
            </w:r>
          </w:p>
        </w:tc>
      </w:tr>
    </w:tbl>
    <w:p>
      <w:pPr>
        <w:spacing w:after="100" w:before="0"/>
      </w:pPr>
      <w:r>
        <w:t xml:space="preserve"/>
      </w:r>
    </w:p>
    <w:p>
      <w:pPr>
        <w:pStyle w:val="Heading1"/>
        <w:spacing w:after="120" w:before="360"/>
      </w:pPr>
      <w:r>
        <w:rPr>
          <w:rFonts w:ascii="Arial" w:cs="Arial" w:eastAsia="Arial" w:hAnsi="Arial"/>
          <w:b/>
          <w:bCs/>
          <w:color w:val="1F3864"/>
          <w:sz w:val="36"/>
          <w:szCs w:val="36"/>
        </w:rPr>
        <w:t xml:space="preserve">7. Research Agenda and Next Steps</w:t>
      </w:r>
    </w:p>
    <w:p>
      <w:pPr>
        <w:pBdr>
          <w:bottom w:val="single" w:color="2E75B6" w:sz="6" w:space="1"/>
        </w:pBd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800"/>
        <w:gridCol w:w="2038"/>
        <w:gridCol w:w="900"/>
      </w:tblGrid>
      <w:tr>
        <w:tc>
          <w:tcPr>
            <w:tcW w:type="dxa" w:w="5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w:t>
            </w:r>
          </w:p>
        </w:tc>
        <w:tc>
          <w:tcPr>
            <w:tcW w:type="dxa" w:w="1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Priority</w:t>
            </w:r>
          </w:p>
        </w:tc>
        <w:tc>
          <w:tcPr>
            <w:tcW w:type="dxa" w:w="3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Experiment</w:t>
            </w:r>
          </w:p>
        </w:tc>
        <w:tc>
          <w:tcPr>
            <w:tcW w:type="dxa" w:w="2038"/>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Success Metric</w:t>
            </w:r>
          </w:p>
        </w:tc>
        <w:tc>
          <w:tcPr>
            <w:tcW w:type="dxa" w:w="9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Status</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w:t>
            </w:r>
          </w:p>
        </w:tc>
        <w:tc>
          <w:tcPr>
            <w:tcW w:type="dxa" w:w="18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left"/>
            </w:pPr>
            <w:r>
              <w:rPr>
                <w:rFonts w:ascii="Arial" w:cs="Arial" w:eastAsia="Arial" w:hAnsi="Arial"/>
                <w:b/>
                <w:bCs/>
                <w:i w:val="false"/>
                <w:iCs w:val="false"/>
                <w:color w:val="222222"/>
                <w:sz w:val="20"/>
                <w:szCs w:val="20"/>
              </w:rPr>
              <w:t xml:space="preserve">CRITICAL</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Vary prompt length T=5,10,20,50,100 for both classes. Test if BBP spike appears at short T where rank constraint is tight.</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BBP spike at T&lt;15 for factual</w:t>
            </w:r>
          </w:p>
        </w:tc>
        <w:tc>
          <w:tcPr>
            <w:tcW w:type="dxa" w:w="9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planned</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2</w:t>
            </w:r>
          </w:p>
        </w:tc>
        <w:tc>
          <w:tcPr>
            <w:tcW w:type="dxa" w:w="18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HIGH</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Test on GPT-2 medium/large/XL: does ΔPR scale with model depth?</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ΔPR ∝ N_LAYERS</w:t>
            </w:r>
          </w:p>
        </w:tc>
        <w:tc>
          <w:tcPr>
            <w:tcW w:type="dxa" w:w="9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planned</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3</w:t>
            </w:r>
          </w:p>
        </w:tc>
        <w:tc>
          <w:tcPr>
            <w:tcW w:type="dxa" w:w="18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HIGH</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Add "hallucination" prompt class and measure metric collapse (PR drop, F increase).</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Distinct metric signature</w:t>
            </w:r>
          </w:p>
        </w:tc>
        <w:tc>
          <w:tcPr>
            <w:tcW w:type="dxa" w:w="9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planned</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4</w:t>
            </w:r>
          </w:p>
        </w:tc>
        <w:tc>
          <w:tcPr>
            <w:tcW w:type="dxa" w:w="18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HIGH</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Token-by-token generation dynamics: how do metrics evolve during autoregressive generation?</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PR collapse before incoherence</w:t>
            </w:r>
          </w:p>
        </w:tc>
        <w:tc>
          <w:tcPr>
            <w:tcW w:type="dxa" w:w="9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planned</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5</w:t>
            </w:r>
          </w:p>
        </w:tc>
        <w:tc>
          <w:tcPr>
            <w:tcW w:type="dxa" w:w="1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MEDIUM</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Pythia scaling laws: measure all metrics across 70M→6.9B, fixed prompts.</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Power-law scaling of ΔPR vs N</w:t>
            </w:r>
          </w:p>
        </w:tc>
        <w:tc>
          <w:tcPr>
            <w:tcW w:type="dxa" w:w="9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planned</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6</w:t>
            </w:r>
          </w:p>
        </w:tc>
        <w:tc>
          <w:tcPr>
            <w:tcW w:type="dxa" w:w="1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MEDIUM</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Attention matrix analysis (QK^T/√d) as alternative object of study.</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Head-level BBP spikes</w:t>
            </w:r>
          </w:p>
        </w:tc>
        <w:tc>
          <w:tcPr>
            <w:tcW w:type="dxa" w:w="9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planned</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7</w:t>
            </w:r>
          </w:p>
        </w:tc>
        <w:tc>
          <w:tcPr>
            <w:tcW w:type="dxa" w:w="1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MEDIUM</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Verify FSS law PR≈kT/(k+T) empirically across T=5-100 for fixed prompts.</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k_factual ~ 3, k_creative ~ 25</w:t>
            </w:r>
          </w:p>
        </w:tc>
        <w:tc>
          <w:tcPr>
            <w:tcW w:type="dxa" w:w="9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planned</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8</w:t>
            </w:r>
          </w:p>
        </w:tc>
        <w:tc>
          <w:tcPr>
            <w:tcW w:type="dxa" w:w="1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LOW</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Test on non-English prompts and code prompts.</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Cross-lingual universality</w:t>
            </w:r>
          </w:p>
        </w:tc>
        <w:tc>
          <w:tcPr>
            <w:tcW w:type="dxa" w:w="9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backlog</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9</w:t>
            </w:r>
          </w:p>
        </w:tc>
        <w:tc>
          <w:tcPr>
            <w:tcW w:type="dxa" w:w="1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FUTURE</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Apply to fine-tuned vs base models to detect capability injection signatures.</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ΔPR shift after fine-tuning</w:t>
            </w:r>
          </w:p>
        </w:tc>
        <w:tc>
          <w:tcPr>
            <w:tcW w:type="dxa" w:w="9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backlog</w:t>
            </w:r>
          </w:p>
        </w:tc>
      </w:tr>
    </w:tbl>
    <w:p>
      <w:pPr>
        <w:spacing w:after="100" w:before="0"/>
      </w:pPr>
      <w:r>
        <w:t xml:space="preserve"/>
      </w:r>
    </w:p>
    <w:p>
      <w:pPr>
        <w:pStyle w:val="Heading1"/>
        <w:spacing w:after="120" w:before="360"/>
      </w:pPr>
      <w:r>
        <w:rPr>
          <w:rFonts w:ascii="Arial" w:cs="Arial" w:eastAsia="Arial" w:hAnsi="Arial"/>
          <w:b/>
          <w:bCs/>
          <w:color w:val="1F3864"/>
          <w:sz w:val="36"/>
          <w:szCs w:val="36"/>
        </w:rPr>
        <w:t xml:space="preserve">8. References</w:t>
      </w:r>
    </w:p>
    <w:p>
      <w:pPr>
        <w:pBdr>
          <w:bottom w:val="single" w:color="2E75B6" w:sz="6" w:space="1"/>
        </w:pBdr>
        <w:spacing w:after="80" w:before="0"/>
      </w:pPr>
      <w:r>
        <w:t xml:space="preserve"/>
      </w:r>
    </w:p>
    <w:p>
      <w:pPr>
        <w:spacing w:after="60" w:before="60"/>
        <w:ind w:left="400" w:hanging="400"/>
      </w:pPr>
      <w:r>
        <w:rPr>
          <w:rFonts w:ascii="Arial" w:cs="Arial" w:eastAsia="Arial" w:hAnsi="Arial"/>
          <w:b/>
          <w:bCs/>
          <w:color w:val="2E75B6"/>
          <w:sz w:val="20"/>
          <w:szCs w:val="20"/>
        </w:rPr>
        <w:t xml:space="preserve">[1] </w:t>
      </w:r>
      <w:r>
        <w:rPr>
          <w:rFonts w:ascii="Arial" w:cs="Arial" w:eastAsia="Arial" w:hAnsi="Arial"/>
          <w:color w:val="222222"/>
          <w:sz w:val="20"/>
          <w:szCs w:val="20"/>
        </w:rPr>
        <w:t xml:space="preserve">Wigner, E.P. (1955). Characteristic vectors of bordered matrices with infinite dimensions. Annals of Mathematics, 62(3), 548–564.</w:t>
      </w:r>
    </w:p>
    <w:p>
      <w:pPr>
        <w:spacing w:after="60" w:before="60"/>
        <w:ind w:left="400" w:hanging="400"/>
      </w:pPr>
      <w:r>
        <w:rPr>
          <w:rFonts w:ascii="Arial" w:cs="Arial" w:eastAsia="Arial" w:hAnsi="Arial"/>
          <w:b/>
          <w:bCs/>
          <w:color w:val="2E75B6"/>
          <w:sz w:val="20"/>
          <w:szCs w:val="20"/>
        </w:rPr>
        <w:t xml:space="preserve">[2] </w:t>
      </w:r>
      <w:r>
        <w:rPr>
          <w:rFonts w:ascii="Arial" w:cs="Arial" w:eastAsia="Arial" w:hAnsi="Arial"/>
          <w:color w:val="222222"/>
          <w:sz w:val="20"/>
          <w:szCs w:val="20"/>
        </w:rPr>
        <w:t xml:space="preserve">Marchenko, V.A., Pastur, L.A. (1967). Distribution of eigenvalues for some sets of random matrices. Math. USSR-Sbornik, 1(4), 457–483.</w:t>
      </w:r>
    </w:p>
    <w:p>
      <w:pPr>
        <w:spacing w:after="60" w:before="60"/>
        <w:ind w:left="400" w:hanging="400"/>
      </w:pPr>
      <w:r>
        <w:rPr>
          <w:rFonts w:ascii="Arial" w:cs="Arial" w:eastAsia="Arial" w:hAnsi="Arial"/>
          <w:b/>
          <w:bCs/>
          <w:color w:val="2E75B6"/>
          <w:sz w:val="20"/>
          <w:szCs w:val="20"/>
        </w:rPr>
        <w:t xml:space="preserve">[3] </w:t>
      </w:r>
      <w:r>
        <w:rPr>
          <w:rFonts w:ascii="Arial" w:cs="Arial" w:eastAsia="Arial" w:hAnsi="Arial"/>
          <w:color w:val="222222"/>
          <w:sz w:val="20"/>
          <w:szCs w:val="20"/>
        </w:rPr>
        <w:t xml:space="preserve">Baik, J., Ben Arous, G., Péché, S. (2005). Phase transition of the largest eigenvalue for nonnull complex sample covariance matrices. Annals of Probability, 33(5), 1643–1697.</w:t>
      </w:r>
    </w:p>
    <w:p>
      <w:pPr>
        <w:spacing w:after="60" w:before="60"/>
        <w:ind w:left="400" w:hanging="400"/>
      </w:pPr>
      <w:r>
        <w:rPr>
          <w:rFonts w:ascii="Arial" w:cs="Arial" w:eastAsia="Arial" w:hAnsi="Arial"/>
          <w:b/>
          <w:bCs/>
          <w:color w:val="2E75B6"/>
          <w:sz w:val="20"/>
          <w:szCs w:val="20"/>
        </w:rPr>
        <w:t xml:space="preserve">[4] </w:t>
      </w:r>
      <w:r>
        <w:rPr>
          <w:rFonts w:ascii="Arial" w:cs="Arial" w:eastAsia="Arial" w:hAnsi="Arial"/>
          <w:color w:val="222222"/>
          <w:sz w:val="20"/>
          <w:szCs w:val="20"/>
        </w:rPr>
        <w:t xml:space="preserve">Martin, C.H., Mahoney, M.W. (2021). Implicit self-regularization in deep neural networks. JMLR, 22(165), 1–73.</w:t>
      </w:r>
    </w:p>
    <w:p>
      <w:pPr>
        <w:spacing w:after="60" w:before="60"/>
        <w:ind w:left="400" w:hanging="400"/>
      </w:pPr>
      <w:r>
        <w:rPr>
          <w:rFonts w:ascii="Arial" w:cs="Arial" w:eastAsia="Arial" w:hAnsi="Arial"/>
          <w:b/>
          <w:bCs/>
          <w:color w:val="2E75B6"/>
          <w:sz w:val="20"/>
          <w:szCs w:val="20"/>
        </w:rPr>
        <w:t xml:space="preserve">[5] </w:t>
      </w:r>
      <w:r>
        <w:rPr>
          <w:rFonts w:ascii="Arial" w:cs="Arial" w:eastAsia="Arial" w:hAnsi="Arial"/>
          <w:color w:val="222222"/>
          <w:sz w:val="20"/>
          <w:szCs w:val="20"/>
        </w:rPr>
        <w:t xml:space="preserve">Martin, C.H., Mahoney, M.W. (2021). Predicting trends in the quality of neural networks without access to training data. Nature Communications, 12, 4122.</w:t>
      </w:r>
    </w:p>
    <w:p>
      <w:pPr>
        <w:spacing w:after="60" w:before="60"/>
        <w:ind w:left="400" w:hanging="400"/>
      </w:pPr>
      <w:r>
        <w:rPr>
          <w:rFonts w:ascii="Arial" w:cs="Arial" w:eastAsia="Arial" w:hAnsi="Arial"/>
          <w:b/>
          <w:bCs/>
          <w:color w:val="2E75B6"/>
          <w:sz w:val="20"/>
          <w:szCs w:val="20"/>
        </w:rPr>
        <w:t xml:space="preserve">[6] </w:t>
      </w:r>
      <w:r>
        <w:rPr>
          <w:rFonts w:ascii="Arial" w:cs="Arial" w:eastAsia="Arial" w:hAnsi="Arial"/>
          <w:color w:val="222222"/>
          <w:sz w:val="20"/>
          <w:szCs w:val="20"/>
        </w:rPr>
        <w:t xml:space="preserve">Pennington, J., Wakhtel, P. (2019). Nonlinear random matrix theory for deep learning. NeurIPS 2019.</w:t>
      </w:r>
    </w:p>
    <w:p>
      <w:pPr>
        <w:spacing w:after="60" w:before="60"/>
        <w:ind w:left="400" w:hanging="400"/>
      </w:pPr>
      <w:r>
        <w:rPr>
          <w:rFonts w:ascii="Arial" w:cs="Arial" w:eastAsia="Arial" w:hAnsi="Arial"/>
          <w:b/>
          <w:bCs/>
          <w:color w:val="2E75B6"/>
          <w:sz w:val="20"/>
          <w:szCs w:val="20"/>
        </w:rPr>
        <w:t xml:space="preserve">[7] </w:t>
      </w:r>
      <w:r>
        <w:rPr>
          <w:rFonts w:ascii="Arial" w:cs="Arial" w:eastAsia="Arial" w:hAnsi="Arial"/>
          <w:color w:val="222222"/>
          <w:sz w:val="20"/>
          <w:szCs w:val="20"/>
        </w:rPr>
        <w:t xml:space="preserve">Elhage, N., et al. (2021). A mathematical framework for transformer circuits. Anthropic, transformer-circuits.pub.</w:t>
      </w:r>
    </w:p>
    <w:p>
      <w:pPr>
        <w:spacing w:after="60" w:before="60"/>
        <w:ind w:left="400" w:hanging="400"/>
      </w:pPr>
      <w:r>
        <w:rPr>
          <w:rFonts w:ascii="Arial" w:cs="Arial" w:eastAsia="Arial" w:hAnsi="Arial"/>
          <w:b/>
          <w:bCs/>
          <w:color w:val="2E75B6"/>
          <w:sz w:val="20"/>
          <w:szCs w:val="20"/>
        </w:rPr>
        <w:t xml:space="preserve">[8] </w:t>
      </w:r>
      <w:r>
        <w:rPr>
          <w:rFonts w:ascii="Arial" w:cs="Arial" w:eastAsia="Arial" w:hAnsi="Arial"/>
          <w:color w:val="222222"/>
          <w:sz w:val="20"/>
          <w:szCs w:val="20"/>
        </w:rPr>
        <w:t xml:space="preserve">Nanda, N., et al. (2022). TransformerLens: A library for mechanistic interpretability. github.com/neelnanda-io/TransformerLens.</w:t>
      </w:r>
    </w:p>
    <w:p>
      <w:pPr>
        <w:spacing w:after="60" w:before="60"/>
        <w:ind w:left="400" w:hanging="400"/>
      </w:pPr>
      <w:r>
        <w:rPr>
          <w:rFonts w:ascii="Arial" w:cs="Arial" w:eastAsia="Arial" w:hAnsi="Arial"/>
          <w:b/>
          <w:bCs/>
          <w:color w:val="2E75B6"/>
          <w:sz w:val="20"/>
          <w:szCs w:val="20"/>
        </w:rPr>
        <w:t xml:space="preserve">[9] </w:t>
      </w:r>
      <w:r>
        <w:rPr>
          <w:rFonts w:ascii="Arial" w:cs="Arial" w:eastAsia="Arial" w:hAnsi="Arial"/>
          <w:color w:val="222222"/>
          <w:sz w:val="20"/>
          <w:szCs w:val="20"/>
        </w:rPr>
        <w:t xml:space="preserve">Dyson, F.J. (1962). Statistical theory of energy levels of complex systems I–III. J. Math. Phys., 3(1), 140–175.</w:t>
      </w:r>
    </w:p>
    <w:p>
      <w:pPr>
        <w:spacing w:after="60" w:before="60"/>
        <w:ind w:left="400" w:hanging="400"/>
      </w:pPr>
      <w:r>
        <w:rPr>
          <w:rFonts w:ascii="Arial" w:cs="Arial" w:eastAsia="Arial" w:hAnsi="Arial"/>
          <w:b/>
          <w:bCs/>
          <w:color w:val="2E75B6"/>
          <w:sz w:val="20"/>
          <w:szCs w:val="20"/>
        </w:rPr>
        <w:t xml:space="preserve">[10] </w:t>
      </w:r>
      <w:r>
        <w:rPr>
          <w:rFonts w:ascii="Arial" w:cs="Arial" w:eastAsia="Arial" w:hAnsi="Arial"/>
          <w:color w:val="222222"/>
          <w:sz w:val="20"/>
          <w:szCs w:val="20"/>
        </w:rPr>
        <w:t xml:space="preserve">Bohigas, O., Giannoni, M., Schmit, C. (1984). Characterization of chaotic quantum spectra and universality of level fluctuation laws. PRL, 52(1), 1–4.</w:t>
      </w:r>
    </w:p>
    <w:p>
      <w:pPr>
        <w:spacing w:after="200" w:before="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tabs>
        <w:tab w:val="right" w:pos="9638"/>
      </w:tabs>
      <w:spacing w:after="0" w:before="80"/>
    </w:pPr>
    <w:r>
      <w:rPr>
        <w:rFonts w:ascii="Arial" w:cs="Arial" w:eastAsia="Arial" w:hAnsi="Arial"/>
        <w:i/>
        <w:iCs/>
        <w:color w:val="888888"/>
        <w:sz w:val="18"/>
        <w:szCs w:val="18"/>
      </w:rPr>
      <w:t xml:space="preserve">Not for citation without permission</w:t>
    </w:r>
    <w:r>
      <w:rPr>
        <w:sz w:val="18"/>
        <w:szCs w:val="18"/>
      </w:rPr>
      <w:t xml:space="preserve">	</w:t>
    </w:r>
    <w:r>
      <w:rPr>
        <w:rFonts w:ascii="Arial" w:cs="Arial" w:eastAsia="Arial" w:hAnsi="Arial"/>
        <w:color w:val="2E75B6"/>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80" w:before="0"/>
    </w:pPr>
    <w:r>
      <w:rPr>
        <w:rFonts w:ascii="Arial" w:cs="Arial" w:eastAsia="Arial" w:hAnsi="Arial"/>
        <w:b/>
        <w:bCs/>
        <w:color w:val="2E75B6"/>
        <w:sz w:val="18"/>
        <w:szCs w:val="18"/>
      </w:rPr>
      <w:t xml:space="preserve">RMT × LLM — Spectral Analysis of Activation Matrices</w:t>
    </w:r>
    <w:r>
      <w:rPr>
        <w:rFonts w:ascii="Arial" w:cs="Arial" w:eastAsia="Arial" w:hAnsi="Arial"/>
        <w:color w:val="888888"/>
        <w:sz w:val="18"/>
        <w:szCs w:val="18"/>
      </w:rPr>
      <w:t xml:space="preserve">   |   Preprint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c2c9660aacc9b73980046bd4910cff191939b2.png"/><Relationship Id="rId10" Type="http://schemas.openxmlformats.org/officeDocument/2006/relationships/image" Target="media/e652c5e4cb7462eaa4ae141274ecbe027e0ef5fb.png"/><Relationship Id="rId11" Type="http://schemas.openxmlformats.org/officeDocument/2006/relationships/image" Target="media/6cfc382e2604887a7da9d07a384a8b98acde4d7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2026-05-25T03:06:52.003Z</dcterms:created>
  <dcterms:modified xsi:type="dcterms:W3CDTF">2026-05-25T03:06:52.015Z</dcterms:modified>
</cp:coreProperties>
</file>

<file path=docProps/custom.xml><?xml version="1.0" encoding="utf-8"?>
<Properties xmlns="http://schemas.openxmlformats.org/officeDocument/2006/custom-properties" xmlns:vt="http://schemas.openxmlformats.org/officeDocument/2006/docPropsVTypes"/>
</file>