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60"/>
        <w:tblGridChange w:id="0">
          <w:tblGrid>
            <w:gridCol w:w="10260"/>
          </w:tblGrid>
        </w:tblGridChange>
      </w:tblGrid>
      <w:tr>
        <w:trPr>
          <w:cantSplit w:val="0"/>
          <w:trHeight w:val="16838" w:hRule="atLeast"/>
          <w:tblHeader w:val="0"/>
        </w:trPr>
        <w:tc>
          <w:tcPr>
            <w:tcBorders>
              <w:top w:color="000000" w:space="0" w:sz="0" w:val="nil"/>
              <w:left w:color="000000" w:space="0" w:sz="0" w:val="nil"/>
              <w:bottom w:color="000000" w:space="0" w:sz="0" w:val="nil"/>
              <w:right w:color="000000" w:space="0" w:sz="0" w:val="nil"/>
            </w:tcBorders>
            <w:shd w:fill="1a1a1a" w:val="cle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4">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5">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6">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7">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08">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09">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0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0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0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0D">
                  <w:pPr>
                    <w:rPr/>
                  </w:pPr>
                  <w:r w:rsidDel="00000000" w:rsidR="00000000" w:rsidRPr="00000000">
                    <w:rPr>
                      <w:rtl w:val="0"/>
                    </w:rPr>
                  </w:r>
                </w:p>
              </w:tc>
            </w:tr>
          </w:tbl>
          <w:p w:rsidR="00000000" w:rsidDel="00000000" w:rsidP="00000000" w:rsidRDefault="00000000" w:rsidRPr="00000000" w14:paraId="0000000E">
            <w:pPr>
              <w:spacing w:before="2800" w:lineRule="auto"/>
              <w:rPr/>
            </w:pPr>
            <w:r w:rsidDel="00000000" w:rsidR="00000000" w:rsidRPr="00000000">
              <w:rPr>
                <w:rtl w:val="0"/>
              </w:rPr>
            </w:r>
          </w:p>
          <w:p w:rsidR="00000000" w:rsidDel="00000000" w:rsidP="00000000" w:rsidRDefault="00000000" w:rsidRPr="00000000" w14:paraId="0000000F">
            <w:pPr>
              <w:spacing w:after="200" w:lineRule="auto"/>
              <w:jc w:val="center"/>
              <w:rPr/>
            </w:pPr>
            <w:r w:rsidDel="00000000" w:rsidR="00000000" w:rsidRPr="00000000">
              <w:rPr>
                <w:rFonts w:ascii="Times New Roman" w:cs="Times New Roman" w:eastAsia="Times New Roman" w:hAnsi="Times New Roman"/>
                <w:b w:val="1"/>
                <w:bCs w:val="1"/>
                <w:color w:val="c9a84c"/>
                <w:sz w:val="56"/>
                <w:szCs w:val="56"/>
                <w:rtl w:val="0"/>
              </w:rPr>
              <w:t xml:space="preserve">RANDOM MATRIX THEORY</w:t>
            </w:r>
            <w:r w:rsidDel="00000000" w:rsidR="00000000" w:rsidRPr="00000000">
              <w:rPr>
                <w:rtl w:val="0"/>
              </w:rPr>
            </w:r>
          </w:p>
          <w:p w:rsidR="00000000" w:rsidDel="00000000" w:rsidP="00000000" w:rsidRDefault="00000000" w:rsidRPr="00000000" w14:paraId="00000010">
            <w:pPr>
              <w:spacing w:after="100" w:lineRule="auto"/>
              <w:jc w:val="center"/>
              <w:rPr/>
            </w:pPr>
            <w:r w:rsidDel="00000000" w:rsidR="00000000" w:rsidRPr="00000000">
              <w:rPr>
                <w:rFonts w:ascii="Times New Roman" w:cs="Times New Roman" w:eastAsia="Times New Roman" w:hAnsi="Times New Roman"/>
                <w:b w:val="1"/>
                <w:bCs w:val="1"/>
                <w:color w:val="ffffff"/>
                <w:sz w:val="44"/>
                <w:szCs w:val="44"/>
                <w:rtl w:val="0"/>
              </w:rPr>
              <w:t xml:space="preserve">MEETS LARGE LANGUAGE MODELS</w:t>
            </w:r>
            <w:r w:rsidDel="00000000" w:rsidR="00000000" w:rsidRPr="00000000">
              <w:rPr>
                <w:rtl w:val="0"/>
              </w:rPr>
            </w:r>
          </w:p>
          <w:p w:rsidR="00000000" w:rsidDel="00000000" w:rsidP="00000000" w:rsidRDefault="00000000" w:rsidRPr="00000000" w14:paraId="00000011">
            <w:pPr>
              <w:pBdr>
                <w:top w:color="c9a84c" w:space="20" w:sz="6" w:val="single"/>
              </w:pBdr>
              <w:spacing w:after="300" w:before="300" w:lineRule="auto"/>
              <w:ind w:left="2500" w:right="2500" w:firstLine="0"/>
              <w:jc w:val="center"/>
              <w:rPr/>
            </w:pPr>
            <w:r w:rsidDel="00000000" w:rsidR="00000000" w:rsidRPr="00000000">
              <w:rPr>
                <w:rtl w:val="0"/>
              </w:rPr>
            </w:r>
          </w:p>
          <w:p w:rsidR="00000000" w:rsidDel="00000000" w:rsidP="00000000" w:rsidRDefault="00000000" w:rsidRPr="00000000" w14:paraId="00000012">
            <w:pPr>
              <w:spacing w:after="2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Spectral Signatures of Factual vs. Creative Generation</w:t>
            </w:r>
            <w:r w:rsidDel="00000000" w:rsidR="00000000" w:rsidRPr="00000000">
              <w:rPr>
                <w:rtl w:val="0"/>
              </w:rPr>
            </w:r>
          </w:p>
          <w:p w:rsidR="00000000" w:rsidDel="00000000" w:rsidP="00000000" w:rsidRDefault="00000000" w:rsidRPr="00000000" w14:paraId="00000013">
            <w:pPr>
              <w:spacing w:after="100" w:lineRule="auto"/>
              <w:jc w:val="center"/>
              <w:rPr/>
            </w:pPr>
            <w:r w:rsidDel="00000000" w:rsidR="00000000" w:rsidRPr="00000000">
              <w:rPr>
                <w:rFonts w:ascii="Times New Roman" w:cs="Times New Roman" w:eastAsia="Times New Roman" w:hAnsi="Times New Roman"/>
                <w:i w:val="1"/>
                <w:iCs w:val="1"/>
                <w:color w:val="aaaaaa"/>
                <w:sz w:val="28"/>
                <w:szCs w:val="28"/>
                <w:rtl w:val="0"/>
              </w:rPr>
              <w:t xml:space="preserve">in GPT-2 Activations</w:t>
            </w:r>
            <w:r w:rsidDel="00000000" w:rsidR="00000000" w:rsidRPr="00000000">
              <w:rPr>
                <w:rtl w:val="0"/>
              </w:rPr>
            </w:r>
          </w:p>
          <w:p w:rsidR="00000000" w:rsidDel="00000000" w:rsidP="00000000" w:rsidRDefault="00000000" w:rsidRPr="00000000" w14:paraId="00000014">
            <w:pPr>
              <w:spacing w:before="1800" w:lineRule="auto"/>
              <w:rPr/>
            </w:pPr>
            <w:r w:rsidDel="00000000" w:rsidR="00000000" w:rsidRPr="00000000">
              <w:rPr>
                <w:rtl w:val="0"/>
              </w:rPr>
            </w:r>
          </w:p>
          <w:p w:rsidR="00000000" w:rsidDel="00000000" w:rsidP="00000000" w:rsidRDefault="00000000" w:rsidRPr="00000000" w14:paraId="00000015">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arXiv Preprint:  </w:t>
            </w:r>
            <w:r w:rsidDel="00000000" w:rsidR="00000000" w:rsidRPr="00000000">
              <w:rPr>
                <w:rFonts w:ascii="Times New Roman" w:cs="Times New Roman" w:eastAsia="Times New Roman" w:hAnsi="Times New Roman"/>
                <w:color w:val="e8d48b"/>
                <w:sz w:val="22"/>
                <w:szCs w:val="22"/>
                <w:rtl w:val="0"/>
              </w:rPr>
              <w:t xml:space="preserve">2026</w:t>
            </w:r>
            <w:r w:rsidDel="00000000" w:rsidR="00000000" w:rsidRPr="00000000">
              <w:rPr>
                <w:rtl w:val="0"/>
              </w:rPr>
            </w:r>
          </w:p>
          <w:p w:rsidR="00000000" w:rsidDel="00000000" w:rsidP="00000000" w:rsidRDefault="00000000" w:rsidRPr="00000000" w14:paraId="00000016">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Model:  </w:t>
            </w:r>
            <w:r w:rsidDel="00000000" w:rsidR="00000000" w:rsidRPr="00000000">
              <w:rPr>
                <w:rFonts w:ascii="Times New Roman" w:cs="Times New Roman" w:eastAsia="Times New Roman" w:hAnsi="Times New Roman"/>
                <w:color w:val="e8d48b"/>
                <w:sz w:val="22"/>
                <w:szCs w:val="22"/>
                <w:rtl w:val="0"/>
              </w:rPr>
              <w:t xml:space="preserve">GPT-2 (124M Parameters)</w:t>
            </w:r>
            <w:r w:rsidDel="00000000" w:rsidR="00000000" w:rsidRPr="00000000">
              <w:rPr>
                <w:rtl w:val="0"/>
              </w:rPr>
            </w:r>
          </w:p>
          <w:p w:rsidR="00000000" w:rsidDel="00000000" w:rsidP="00000000" w:rsidRDefault="00000000" w:rsidRPr="00000000" w14:paraId="00000017">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Framework:  </w:t>
            </w:r>
            <w:r w:rsidDel="00000000" w:rsidR="00000000" w:rsidRPr="00000000">
              <w:rPr>
                <w:rFonts w:ascii="Times New Roman" w:cs="Times New Roman" w:eastAsia="Times New Roman" w:hAnsi="Times New Roman"/>
                <w:color w:val="e8d48b"/>
                <w:sz w:val="22"/>
                <w:szCs w:val="22"/>
                <w:rtl w:val="0"/>
              </w:rPr>
              <w:t xml:space="preserve">Random Matrix Theory + Information Theory</w:t>
            </w:r>
            <w:r w:rsidDel="00000000" w:rsidR="00000000" w:rsidRPr="00000000">
              <w:rPr>
                <w:rtl w:val="0"/>
              </w:rPr>
            </w:r>
          </w:p>
          <w:p w:rsidR="00000000" w:rsidDel="00000000" w:rsidP="00000000" w:rsidRDefault="00000000" w:rsidRPr="00000000" w14:paraId="00000018">
            <w:pPr>
              <w:spacing w:after="80" w:lineRule="auto"/>
              <w:jc w:val="center"/>
              <w:rPr/>
            </w:pPr>
            <w:r w:rsidDel="00000000" w:rsidR="00000000" w:rsidRPr="00000000">
              <w:rPr>
                <w:rFonts w:ascii="Times New Roman" w:cs="Times New Roman" w:eastAsia="Times New Roman" w:hAnsi="Times New Roman"/>
                <w:color w:val="888888"/>
                <w:sz w:val="20"/>
                <w:szCs w:val="20"/>
                <w:rtl w:val="0"/>
              </w:rPr>
              <w:t xml:space="preserve">Key Result:  </w:t>
            </w:r>
            <w:r w:rsidDel="00000000" w:rsidR="00000000" w:rsidRPr="00000000">
              <w:rPr>
                <w:rFonts w:ascii="Times New Roman" w:cs="Times New Roman" w:eastAsia="Times New Roman" w:hAnsi="Times New Roman"/>
                <w:color w:val="e8d48b"/>
                <w:sz w:val="22"/>
                <w:szCs w:val="22"/>
                <w:rtl w:val="0"/>
              </w:rPr>
              <w:t xml:space="preserve">BBP Phase Transition Distinguishes Generation Modes</w:t>
            </w:r>
            <w:r w:rsidDel="00000000" w:rsidR="00000000" w:rsidRPr="00000000">
              <w:rPr>
                <w:rtl w:val="0"/>
              </w:rPr>
            </w:r>
          </w:p>
          <w:p w:rsidR="00000000" w:rsidDel="00000000" w:rsidP="00000000" w:rsidRDefault="00000000" w:rsidRPr="00000000" w14:paraId="00000019">
            <w:pPr>
              <w:spacing w:before="800" w:lineRule="auto"/>
              <w:rPr/>
            </w:pPr>
            <w:r w:rsidDel="00000000" w:rsidR="00000000" w:rsidRPr="00000000">
              <w:rPr>
                <w:rtl w:val="0"/>
              </w:rPr>
            </w:r>
          </w:p>
          <w:tbl>
            <w:tblPr>
              <w:tblStyle w:val="Table3"/>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1A">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1B">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1C">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1D">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1E">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e8d48b" w:val="clear"/>
                </w:tcPr>
                <w:p w:rsidR="00000000" w:rsidDel="00000000" w:rsidP="00000000" w:rsidRDefault="00000000" w:rsidRPr="00000000" w14:paraId="0000001F">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0">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8b7535" w:val="clear"/>
                </w:tcPr>
                <w:p w:rsidR="00000000" w:rsidDel="00000000" w:rsidP="00000000" w:rsidRDefault="00000000" w:rsidRPr="00000000" w14:paraId="00000021">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5a4a28" w:val="clear"/>
                </w:tcPr>
                <w:p w:rsidR="00000000" w:rsidDel="00000000" w:rsidP="00000000" w:rsidRDefault="00000000" w:rsidRPr="00000000" w14:paraId="00000022">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3a3018" w:val="clear"/>
                </w:tcPr>
                <w:p w:rsidR="00000000" w:rsidDel="00000000" w:rsidP="00000000" w:rsidRDefault="00000000" w:rsidRPr="00000000" w14:paraId="00000023">
                  <w:pPr>
                    <w:rPr/>
                  </w:pPr>
                  <w:r w:rsidDel="00000000" w:rsidR="00000000" w:rsidRPr="00000000">
                    <w:rPr>
                      <w:rtl w:val="0"/>
                    </w:rPr>
                  </w:r>
                </w:p>
              </w:tc>
            </w:tr>
            <w:tr>
              <w:trPr>
                <w:cantSplit w:val="0"/>
                <w:trHeight w:val="10" w:hRule="atLeast"/>
                <w:tblHeader w:val="0"/>
              </w:trPr>
              <w:tc>
                <w:tcPr>
                  <w:tcBorders>
                    <w:top w:color="000000" w:space="0" w:sz="0" w:val="nil"/>
                    <w:left w:color="000000" w:space="0" w:sz="0" w:val="nil"/>
                    <w:bottom w:color="000000" w:space="0" w:sz="0" w:val="nil"/>
                    <w:right w:color="000000" w:space="0" w:sz="0" w:val="nil"/>
                  </w:tcBorders>
                  <w:shd w:fill="2a2210" w:val="clear"/>
                </w:tcPr>
                <w:p w:rsidR="00000000" w:rsidDel="00000000" w:rsidP="00000000" w:rsidRDefault="00000000" w:rsidRPr="00000000" w14:paraId="00000024">
                  <w:pPr>
                    <w:rPr/>
                  </w:pPr>
                  <w:r w:rsidDel="00000000" w:rsidR="00000000" w:rsidRPr="00000000">
                    <w:rPr>
                      <w:rtl w:val="0"/>
                    </w:rPr>
                  </w:r>
                </w:p>
              </w:tc>
            </w:tr>
          </w:tbl>
          <w:p w:rsidR="00000000" w:rsidDel="00000000" w:rsidP="00000000" w:rsidRDefault="00000000" w:rsidRPr="00000000" w14:paraId="00000025">
            <w:pPr>
              <w:rPr/>
            </w:pPr>
            <w:r w:rsidDel="00000000" w:rsidR="00000000" w:rsidRPr="00000000">
              <w:rPr>
                <w:rtl w:val="0"/>
              </w:rPr>
            </w:r>
          </w:p>
        </w:tc>
      </w:tr>
    </w:tbl>
    <w:p w:rsidR="00000000" w:rsidDel="00000000" w:rsidP="00000000" w:rsidRDefault="00000000" w:rsidRPr="00000000" w14:paraId="00000026">
      <w:pPr>
        <w:rPr/>
        <w:sectPr>
          <w:pgSz w:h="16838" w:w="11906" w:orient="portrait"/>
          <w:pgMar w:bottom="0" w:top="0" w:left="0" w:right="0" w:header="708" w:footer="708"/>
          <w:pgNumType w:start="1"/>
        </w:sectPr>
      </w:pPr>
      <w:r w:rsidDel="00000000" w:rsidR="00000000" w:rsidRPr="00000000">
        <w:rPr>
          <w:rtl w:val="0"/>
        </w:rPr>
      </w:r>
    </w:p>
    <w:p w:rsidR="00000000" w:rsidDel="00000000" w:rsidP="00000000" w:rsidRDefault="00000000" w:rsidRPr="00000000" w14:paraId="00000027">
      <w:pPr>
        <w:pStyle w:val="Heading1"/>
        <w:pBdr>
          <w:bottom w:color="c9a84c" w:space="8" w:sz="4" w:val="single"/>
        </w:pBdr>
        <w:spacing w:after="240" w:before="480" w:line="400" w:lineRule="auto"/>
        <w:jc w:val="left"/>
        <w:rPr/>
      </w:pPr>
      <w:bookmarkStart w:colFirst="0" w:colLast="0" w:name="_pyrjawjgb5s1" w:id="0"/>
      <w:bookmarkEnd w:id="0"/>
      <w:r w:rsidDel="00000000" w:rsidR="00000000" w:rsidRPr="00000000">
        <w:rPr>
          <w:rFonts w:ascii="Times New Roman" w:cs="Times New Roman" w:eastAsia="Times New Roman" w:hAnsi="Times New Roman"/>
          <w:b w:val="1"/>
          <w:bCs w:val="1"/>
          <w:color w:val="c9a84c"/>
          <w:sz w:val="36"/>
          <w:szCs w:val="36"/>
          <w:rtl w:val="0"/>
        </w:rPr>
        <w:t xml:space="preserve">Abstract</w:t>
      </w:r>
      <w:r w:rsidDel="00000000" w:rsidR="00000000" w:rsidRPr="00000000">
        <w:rPr>
          <w:rtl w:val="0"/>
        </w:rPr>
      </w:r>
    </w:p>
    <w:p w:rsidR="00000000" w:rsidDel="00000000" w:rsidP="00000000" w:rsidRDefault="00000000" w:rsidRPr="00000000" w14:paraId="0000002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paper presents a comprehensive investigation into the application of Random Matrix Theory (RMT) to the analysis of activation matrices extracted from large language models (LLMs), specifically GPT-2. We demonstrate that the spectral properties of covariance matrices formed from hidden-state activations exhibit fundamentally different characteristics depending on whether the model is engaged in factual recall or creative generation. Our analysis reveals that factual generation produces covariance matrices whose largest eigenvalue significantly exceeds the Marchenko-Pastur upper bound, signaling a BBP (Baik-Ben Arous-Peché) phase transition indicative of a structured, low-rank signal component embedded within the activation space. In contrast, creative generation yields eigenvalue spectra that remain largely within the bulk distribution predicted by RMT for random matrices, suggesting a more distributed, high-entropy representation across the model's hidden dimensions.</w:t>
      </w:r>
      <w:r w:rsidDel="00000000" w:rsidR="00000000" w:rsidRPr="00000000">
        <w:rPr>
          <w:rtl w:val="0"/>
        </w:rPr>
      </w:r>
    </w:p>
    <w:p w:rsidR="00000000" w:rsidDel="00000000" w:rsidP="00000000" w:rsidRDefault="00000000" w:rsidRPr="00000000" w14:paraId="0000002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introduce a suite of spectral metrics—including Participation Ratio (PR), Signal-to-Noise Ratio (SNR), spectral entropy, Inverse Participation Ratio (IPR), spacing ratio distributions, and the spectral form factor—that collectively provide a multi-dimensional characterization of the “generation mode” of an LLM. Furthermore, we develop a thermodynamic analogy in which the spectral free energy F = U - TS_spec, where U corresponds to the largest eigenvalue and S_spec to the spectral entropy, naturally distinguishes between factual (bound state, F &lt; 0) and creative (gas state, F ≈ 0) phases. We extend our analysis across all twelve layers of GPT-2, revealing a renormalization group (RG) flow trajectory in the (PR, lambda_max/lambda_+) plane, where intermediate layers (5-8) act as a critical region analogous to a second-order phase transition. Our experimental validation encompasses temperature sweeps, prompt-length dependence studies, and cross-layer spectral transfer analysis, all of which confirm the robustness and universality of the observed spectral signatures.</w:t>
      </w:r>
      <w:r w:rsidDel="00000000" w:rsidR="00000000" w:rsidRPr="00000000">
        <w:rPr>
          <w:rtl w:val="0"/>
        </w:rPr>
      </w:r>
    </w:p>
    <w:p w:rsidR="00000000" w:rsidDel="00000000" w:rsidP="00000000" w:rsidRDefault="00000000" w:rsidRPr="00000000" w14:paraId="0000002A">
      <w:pPr>
        <w:spacing w:after="300" w:before="300" w:lineRule="auto"/>
        <w:jc w:val="center"/>
        <w:rPr/>
        <w:sectPr>
          <w:headerReference r:id="rId6" w:type="default"/>
          <w:footerReference r:id="rId7" w:type="default"/>
          <w:type w:val="nextPage"/>
          <w:pgSz w:h="16838" w:w="11906" w:orient="portrait"/>
          <w:pgMar w:bottom="1440" w:top="1440" w:left="1701" w:right="1417" w:header="708" w:footer="708"/>
          <w:pgNumType w:start="1"/>
        </w:sect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02B">
      <w:pPr>
        <w:spacing w:after="300" w:before="400" w:lineRule="auto"/>
        <w:jc w:val="center"/>
        <w:rPr/>
      </w:pPr>
      <w:r w:rsidDel="00000000" w:rsidR="00000000" w:rsidRPr="00000000">
        <w:rPr>
          <w:rFonts w:ascii="Times New Roman" w:cs="Times New Roman" w:eastAsia="Times New Roman" w:hAnsi="Times New Roman"/>
          <w:b w:val="1"/>
          <w:bCs w:val="1"/>
          <w:color w:val="c9a84c"/>
          <w:sz w:val="36"/>
          <w:szCs w:val="36"/>
          <w:rtl w:val="0"/>
        </w:rPr>
        <w:t xml:space="preserve">Table of Contents</w:t>
      </w:r>
      <w:r w:rsidDel="00000000" w:rsidR="00000000" w:rsidRPr="00000000">
        <w:rPr>
          <w:rtl w:val="0"/>
        </w:rPr>
      </w:r>
    </w:p>
    <w:tbl>
      <w:tblPr>
        <w:tblStyle w:val="Table4"/>
        <w:tblW w:w="1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0"/>
        <w:tblGridChange w:id="0">
          <w:tblGrid>
            <w:gridCol w:w="100"/>
          </w:tblGrid>
        </w:tblGridChange>
      </w:tblGrid>
      <w:tr>
        <w:trPr>
          <w:cantSplit w:val="0"/>
          <w:trHeight w:val="40" w:hRule="atLeast"/>
          <w:tblHeader w:val="0"/>
        </w:trPr>
        <w:tc>
          <w:tcPr>
            <w:tcBorders>
              <w:top w:color="000000" w:space="0" w:sz="0" w:val="nil"/>
              <w:left w:color="000000" w:space="0" w:sz="0" w:val="nil"/>
              <w:bottom w:color="000000" w:space="0" w:sz="0" w:val="nil"/>
              <w:right w:color="000000" w:space="0" w:sz="0" w:val="nil"/>
            </w:tcBorders>
            <w:shd w:fill="c9a84c" w:val="clear"/>
          </w:tcPr>
          <w:p w:rsidR="00000000" w:rsidDel="00000000" w:rsidP="00000000" w:rsidRDefault="00000000" w:rsidRPr="00000000" w14:paraId="0000002C">
            <w:pPr>
              <w:rPr/>
            </w:pPr>
            <w:r w:rsidDel="00000000" w:rsidR="00000000" w:rsidRPr="00000000">
              <w:rPr>
                <w:rtl w:val="0"/>
              </w:rPr>
            </w:r>
          </w:p>
        </w:tc>
      </w:tr>
    </w:tbl>
    <w:p w:rsidR="00000000" w:rsidDel="00000000" w:rsidP="00000000" w:rsidRDefault="00000000" w:rsidRPr="00000000" w14:paraId="0000002D">
      <w:pPr>
        <w:spacing w:after="200" w:lineRule="auto"/>
        <w:rPr/>
      </w:pPr>
      <w:r w:rsidDel="00000000" w:rsidR="00000000" w:rsidRPr="00000000">
        <w:rPr>
          <w:rtl w:val="0"/>
        </w:rPr>
      </w:r>
    </w:p>
    <w:sdt>
      <w:sdtPr>
        <w:id w:val="-720017292"/>
        <w:docPartObj>
          <w:docPartGallery w:val="Table of Contents"/>
          <w:docPartUnique w:val="1"/>
        </w:docPartObj>
      </w:sdtPr>
      <w:sdtContent>
        <w:p w:rsidR="00000000" w:rsidDel="00000000" w:rsidP="00000000" w:rsidRDefault="00000000" w:rsidRPr="00000000" w14:paraId="0000002E">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pyrjawjgb5s1">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Abstract</w:t>
              <w:tab/>
              <w:t xml:space="preserve">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ihgnh2rt8imn">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27wt909za3e2">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1.1 Motivation and Background</w:t>
              <w:tab/>
              <w:t xml:space="preserve">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mtj3ulq0k6sm">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1.2 Research Questions</w:t>
              <w:tab/>
              <w:t xml:space="preserve">2</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lneosmgs1jb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1.3 Contributions</w:t>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n3eu5abqsseq">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1.4 Paper Structure</w:t>
              <w:tab/>
              <w:t xml:space="preserve">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qf7cjgrejga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2. Theoretical Foundations</w:t>
              <w:tab/>
              <w:t xml:space="preserve">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wppb6wzwzm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2.1 Marchenko-Pastur Law</w:t>
              <w:tab/>
              <w:t xml:space="preserve">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s23gqkb4h5r">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2.2 BBP Phase Transition</w:t>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afx3mds5ko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2.3 Tracy-Widom Distribution</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9ew92nfknql6">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2.4 Spectral Form Factor</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cjhffrqgfui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2.5 Participation Ratio and Inverse Participation Ratio</w:t>
              <w:tab/>
              <w:t xml:space="preserve">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zhc2zvl8s00w">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2.6 Spacing Ratio Distribution</w:t>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7pz0d9ib6mw5">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3. Methodology</w:t>
              <w:tab/>
              <w:t xml:space="preserve">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cyoalgte2b9f">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3.1 Model and Activation Extraction</w:t>
              <w:tab/>
              <w:t xml:space="preserve">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sn9qdzkb28y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3.2 Prompt Design: Factual vs. Creative</w:t>
              <w:tab/>
              <w:t xml:space="preserve">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o66q2waojwn">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3.3 Spectral Analysis Pipeline</w:t>
              <w:tab/>
              <w:t xml:space="preserve">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agb30sn07pml">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4. Core Experimental Results</w:t>
              <w:tab/>
              <w:t xml:space="preserve">8</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66nsz9ljbai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4.1 Eigenvalue Density: Factual vs. Creative</w:t>
              <w:tab/>
              <w:t xml:space="preserve">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rs43gk6g55e">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4.2 Scree Plot Analysis</w:t>
              <w:tab/>
              <w:t xml:space="preserve">9</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i7wsoq28yzy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4.3 Participation Ratio Comparison</w:t>
              <w:tab/>
              <w:t xml:space="preserve">10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vswiobon8f0z">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5. Advanced Experiments</w:t>
              <w:tab/>
              <w:t xml:space="preserve">11</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1qe5dq929i5x">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5.1 Temperature Sweep: Spectral Phase Transition</w:t>
              <w:tab/>
              <w:t xml:space="preserve">11</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8havtu77qroy">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5.2 Cross-Layer Spectral Transfer</w:t>
              <w:tab/>
              <w:t xml:space="preserve">11</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w3ei5ft83jrl">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5.3 Inverse Participation Ratio Across Layers</w:t>
              <w:tab/>
              <w:t xml:space="preserve">12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41y50cibn67b">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5.4 Prompt Length Dependence</w:t>
              <w:tab/>
              <w:t xml:space="preserve">12</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hff8a4p2qo3e">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6. Theoretical Extensions</w:t>
              <w:tab/>
              <w:t xml:space="preserve">13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1uus9tzorb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6.1 Free Energy Analogy: F = U - TS_spec</w:t>
              <w:tab/>
              <w:t xml:space="preserve">13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cpfoa28qp0">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6.2 Renormalization Group Flow Across Layers</w:t>
              <w:tab/>
              <w:t xml:space="preserve">14</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7n318dedouk3">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6.3 Information-Theoretic Connection</w:t>
              <w:tab/>
              <w:t xml:space="preserve">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yxjvbi942s07">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6.4 Spacing Ratio and Spectral Correlations</w:t>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fw0wii17lvpo">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6.5 BBP Transition Schematic</w:t>
              <w:tab/>
              <w:t xml:space="preserve">16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38d62r26xqut">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7. Spectral Form Factor Analysis</w:t>
              <w:tab/>
              <w:t xml:space="preserve">16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4acjb9ryrajf">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7.1 Empirical Spectral Form Factor</w:t>
              <w:tab/>
              <w:t xml:space="preserve">17</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teovg15kkgg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7.2 Comprehensive Spectral Metrics Heatmap</w:t>
              <w:tab/>
              <w:t xml:space="preserve">17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5eyi2peyh41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8. Discussion</w:t>
              <w:tab/>
              <w:t xml:space="preserve">18</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y25l6959ypva">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8.1 Implications for LLM Interpretability</w:t>
              <w:tab/>
              <w:t xml:space="preserve">18</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36s1rrroog6j">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8.2 Connections to Other Work</w:t>
              <w:tab/>
              <w:t xml:space="preserve">18</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axrgad7rq16d">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8.3 Limitations</w:t>
              <w:tab/>
              <w:t xml:space="preserve">19</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320463hdzmvt">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8.4 Future Directions</w:t>
              <w:tab/>
              <w:t xml:space="preserve">19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kt2yq1q1yrc">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9. Conclusions</w:t>
              <w:tab/>
              <w:t xml:space="preserve">19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uja7un2st737">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A: Mathematical Derivations</w:t>
              <w:tab/>
              <w:t xml:space="preserve">20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rbopwvstl1gq">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A.1 Derivation of Spectral Free Energy</w:t>
              <w:tab/>
              <w:t xml:space="preserve">20</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360" w:right="0" w:firstLine="0"/>
            <w:jc w:val="left"/>
            <w:rPr>
              <w:rFonts w:ascii="Times New Roman" w:cs="Times New Roman" w:eastAsia="Times New Roman" w:hAnsi="Times New Roman"/>
              <w:b w:val="0"/>
              <w:bCs w:val="0"/>
              <w:i w:val="0"/>
              <w:iCs w:val="0"/>
              <w:smallCaps w:val="0"/>
              <w:strike w:val="0"/>
              <w:color w:val="1a1a14"/>
              <w:sz w:val="24"/>
              <w:szCs w:val="24"/>
              <w:u w:val="none"/>
              <w:shd w:fill="auto" w:val="clear"/>
              <w:vertAlign w:val="baseline"/>
            </w:rPr>
          </w:pPr>
          <w:hyperlink w:anchor="_lc6hrt9h6sqr">
            <w:r w:rsidDel="00000000" w:rsidR="00000000" w:rsidRPr="00000000">
              <w:rPr>
                <w:rFonts w:ascii="Times New Roman" w:cs="Times New Roman" w:eastAsia="Times New Roman" w:hAnsi="Times New Roman"/>
                <w:b w:val="0"/>
                <w:bCs w:val="0"/>
                <w:i w:val="0"/>
                <w:iCs w:val="0"/>
                <w:smallCaps w:val="0"/>
                <w:strike w:val="0"/>
                <w:color w:val="1a1a14"/>
                <w:sz w:val="24"/>
                <w:szCs w:val="24"/>
                <w:u w:val="none"/>
                <w:shd w:fill="auto" w:val="clear"/>
                <w:vertAlign w:val="baseline"/>
                <w:rtl w:val="0"/>
              </w:rPr>
              <w:t xml:space="preserve">A.2 Covariance Matrix Construction</w:t>
              <w:tab/>
              <w:t xml:space="preserve">20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z83pe2atjklc">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B: Experimental Details</w:t>
              <w:tab/>
              <w:t xml:space="preserve">21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rdojmqj250zd">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Appendix C: Code Implementation</w:t>
              <w:tab/>
              <w:t xml:space="preserve">21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6"/>
            </w:tabs>
            <w:spacing w:after="60" w:before="120" w:line="360" w:lineRule="auto"/>
            <w:ind w:left="0" w:right="0" w:firstLine="0"/>
            <w:jc w:val="left"/>
            <w:rPr>
              <w:rFonts w:ascii="Times New Roman" w:cs="Times New Roman" w:eastAsia="Times New Roman" w:hAnsi="Times New Roman"/>
              <w:b w:val="1"/>
              <w:bCs w:val="1"/>
              <w:i w:val="0"/>
              <w:iCs w:val="0"/>
              <w:smallCaps w:val="0"/>
              <w:strike w:val="0"/>
              <w:color w:val="1a1a14"/>
              <w:sz w:val="24"/>
              <w:szCs w:val="24"/>
              <w:u w:val="none"/>
              <w:shd w:fill="auto" w:val="clear"/>
              <w:vertAlign w:val="baseline"/>
            </w:rPr>
          </w:pPr>
          <w:hyperlink w:anchor="_fs0vwju34dud">
            <w:r w:rsidDel="00000000" w:rsidR="00000000" w:rsidRPr="00000000">
              <w:rPr>
                <w:rFonts w:ascii="Times New Roman" w:cs="Times New Roman" w:eastAsia="Times New Roman" w:hAnsi="Times New Roman"/>
                <w:b w:val="1"/>
                <w:bCs w:val="1"/>
                <w:i w:val="0"/>
                <w:iCs w:val="0"/>
                <w:smallCaps w:val="0"/>
                <w:strike w:val="0"/>
                <w:color w:val="1a1a14"/>
                <w:sz w:val="24"/>
                <w:szCs w:val="24"/>
                <w:u w:val="none"/>
                <w:shd w:fill="auto" w:val="clear"/>
                <w:vertAlign w:val="baseline"/>
                <w:rtl w:val="0"/>
              </w:rPr>
              <w:t xml:space="preserve">References</w:t>
              <w:tab/>
              <w:t xml:space="preserve">22</w:t>
            </w:r>
          </w:hyperlink>
          <w:r w:rsidDel="00000000" w:rsidR="00000000" w:rsidRPr="00000000">
            <w:rPr>
              <w:rtl w:val="0"/>
            </w:rPr>
          </w:r>
        </w:p>
        <w:p w:rsidR="00000000" w:rsidDel="00000000" w:rsidP="00000000" w:rsidRDefault="00000000" w:rsidRPr="00000000" w14:paraId="0000005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spacing w:before="200" w:lineRule="auto"/>
        <w:jc w:val="center"/>
        <w:rPr/>
      </w:pPr>
      <w:r w:rsidDel="00000000" w:rsidR="00000000" w:rsidRPr="00000000">
        <w:rPr>
          <w:rFonts w:ascii="Times New Roman" w:cs="Times New Roman" w:eastAsia="Times New Roman" w:hAnsi="Times New Roman"/>
          <w:i w:val="1"/>
          <w:iCs w:val="1"/>
          <w:color w:val="888888"/>
          <w:sz w:val="18"/>
          <w:szCs w:val="18"/>
          <w:rtl w:val="0"/>
        </w:rPr>
        <w:t xml:space="preserve">Note: Right-click on the TOC and select “Update Field” to refresh page numbers.</w:t>
      </w:r>
      <w:r w:rsidDel="00000000" w:rsidR="00000000" w:rsidRPr="00000000">
        <w:rPr>
          <w:rtl w:val="0"/>
        </w:rPr>
      </w:r>
    </w:p>
    <w:p w:rsidR="00000000" w:rsidDel="00000000" w:rsidP="00000000" w:rsidRDefault="00000000" w:rsidRPr="00000000" w14:paraId="00000060">
      <w:pPr>
        <w:rPr/>
        <w:sectPr>
          <w:headerReference r:id="rId8" w:type="default"/>
          <w:footerReference r:id="rId9" w:type="default"/>
          <w:type w:val="nextPage"/>
          <w:pgSz w:h="16838" w:w="11906" w:orient="portrait"/>
          <w:pgMar w:bottom="1440" w:top="1440" w:left="1701" w:right="1417"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Bdr>
          <w:bottom w:color="c9a84c" w:space="8" w:sz="4" w:val="single"/>
        </w:pBdr>
        <w:spacing w:after="240" w:before="480" w:line="400" w:lineRule="auto"/>
        <w:jc w:val="left"/>
        <w:rPr/>
      </w:pPr>
      <w:bookmarkStart w:colFirst="0" w:colLast="0" w:name="_ihgnh2rt8imn" w:id="1"/>
      <w:bookmarkEnd w:id="1"/>
      <w:r w:rsidDel="00000000" w:rsidR="00000000" w:rsidRPr="00000000">
        <w:rPr>
          <w:rFonts w:ascii="Times New Roman" w:cs="Times New Roman" w:eastAsia="Times New Roman" w:hAnsi="Times New Roman"/>
          <w:b w:val="1"/>
          <w:bCs w:val="1"/>
          <w:color w:val="c9a84c"/>
          <w:sz w:val="36"/>
          <w:szCs w:val="36"/>
          <w:rtl w:val="0"/>
        </w:rPr>
        <w:t xml:space="preserve">1. Introduction</w:t>
      </w:r>
      <w:r w:rsidDel="00000000" w:rsidR="00000000" w:rsidRPr="00000000">
        <w:rPr>
          <w:rtl w:val="0"/>
        </w:rPr>
      </w:r>
    </w:p>
    <w:p w:rsidR="00000000" w:rsidDel="00000000" w:rsidP="00000000" w:rsidRDefault="00000000" w:rsidRPr="00000000" w14:paraId="00000062">
      <w:pPr>
        <w:pStyle w:val="Heading2"/>
        <w:pBdr>
          <w:left w:color="c9a84c" w:space="10" w:sz="10" w:val="single"/>
        </w:pBdr>
        <w:spacing w:after="180" w:before="360" w:line="360" w:lineRule="auto"/>
        <w:ind w:left="200" w:firstLine="0"/>
        <w:jc w:val="left"/>
        <w:rPr/>
      </w:pPr>
      <w:bookmarkStart w:colFirst="0" w:colLast="0" w:name="_27wt909za3e2" w:id="2"/>
      <w:bookmarkEnd w:id="2"/>
      <w:r w:rsidDel="00000000" w:rsidR="00000000" w:rsidRPr="00000000">
        <w:rPr>
          <w:rFonts w:ascii="Times New Roman" w:cs="Times New Roman" w:eastAsia="Times New Roman" w:hAnsi="Times New Roman"/>
          <w:b w:val="1"/>
          <w:bCs w:val="1"/>
          <w:color w:val="c9a84c"/>
          <w:sz w:val="30"/>
          <w:szCs w:val="30"/>
          <w:rtl w:val="0"/>
        </w:rPr>
        <w:t xml:space="preserve">1.1 Motivation and Background</w:t>
      </w:r>
      <w:r w:rsidDel="00000000" w:rsidR="00000000" w:rsidRPr="00000000">
        <w:rPr>
          <w:rtl w:val="0"/>
        </w:rPr>
      </w:r>
    </w:p>
    <w:p w:rsidR="00000000" w:rsidDel="00000000" w:rsidP="00000000" w:rsidRDefault="00000000" w:rsidRPr="00000000" w14:paraId="0000006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remarkable success of large language models (LLMs) in natural language processing has created an urgent need for interpretability frameworks that can explain the internal mechanisms driving their generation behavior. While the architectural foundations of transformer-based models—multi-head attention, layer normalization, and feed-forward networks—are well understood at the level of individual operations, the collective behavior of millions of parameters during inference remains largely opaque. This opacity poses significant challenges for understanding when and why models produce factual versus hallucinated content, creative versus deterministic outputs, or coherent versus degenerate text. The lack of principled tools for probing these distinctions at the level of activation dynamics represents a fundamental gap in our understanding of neural language models.</w:t>
      </w:r>
      <w:r w:rsidDel="00000000" w:rsidR="00000000" w:rsidRPr="00000000">
        <w:rPr>
          <w:rtl w:val="0"/>
        </w:rPr>
      </w:r>
    </w:p>
    <w:p w:rsidR="00000000" w:rsidDel="00000000" w:rsidP="00000000" w:rsidRDefault="00000000" w:rsidRPr="00000000" w14:paraId="0000006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Random Matrix Theory (RMT) provides a powerful mathematical framework for analyzing the spectral properties of large matrices whose entries exhibit statistical correlations. Originally developed in mathematical physics to describe the energy level statistics of complex quantum systems, RMT has found remarkable applications across diverse fields including wireless communications, financial risk modeling, and neuroscience. The central insight of RMT is that the eigenvalue spectrum of a random matrix—regardless of the specific distribution of its entries—converges to universal limiting distributions determined solely by the matrix's symmetry class and aspect ratio. This universality means that deviations from the predicted spectrum carry meaningful information about structured, non-random components embedded within the data, making RMT an ideal tool for detecting signal within noise.</w:t>
      </w:r>
      <w:r w:rsidDel="00000000" w:rsidR="00000000" w:rsidRPr="00000000">
        <w:rPr>
          <w:rtl w:val="0"/>
        </w:rPr>
      </w:r>
    </w:p>
    <w:p w:rsidR="00000000" w:rsidDel="00000000" w:rsidP="00000000" w:rsidRDefault="00000000" w:rsidRPr="00000000" w14:paraId="00000065">
      <w:pPr>
        <w:pStyle w:val="Heading2"/>
        <w:pBdr>
          <w:left w:color="c9a84c" w:space="10" w:sz="10" w:val="single"/>
        </w:pBdr>
        <w:spacing w:after="180" w:before="360" w:line="360" w:lineRule="auto"/>
        <w:ind w:left="200" w:firstLine="0"/>
        <w:jc w:val="left"/>
        <w:rPr/>
      </w:pPr>
      <w:bookmarkStart w:colFirst="0" w:colLast="0" w:name="_mtj3ulq0k6sm" w:id="3"/>
      <w:bookmarkEnd w:id="3"/>
      <w:r w:rsidDel="00000000" w:rsidR="00000000" w:rsidRPr="00000000">
        <w:rPr>
          <w:rFonts w:ascii="Times New Roman" w:cs="Times New Roman" w:eastAsia="Times New Roman" w:hAnsi="Times New Roman"/>
          <w:b w:val="1"/>
          <w:bCs w:val="1"/>
          <w:color w:val="c9a84c"/>
          <w:sz w:val="30"/>
          <w:szCs w:val="30"/>
          <w:rtl w:val="0"/>
        </w:rPr>
        <w:t xml:space="preserve">1.2 Research Questions</w:t>
      </w:r>
      <w:r w:rsidDel="00000000" w:rsidR="00000000" w:rsidRPr="00000000">
        <w:rPr>
          <w:rtl w:val="0"/>
        </w:rPr>
      </w:r>
    </w:p>
    <w:p w:rsidR="00000000" w:rsidDel="00000000" w:rsidP="00000000" w:rsidRDefault="00000000" w:rsidRPr="00000000" w14:paraId="0000006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work is motivated by three fundamental questions about the relationship between spectral properties of LLM activation matrices and the model's generation mode. First, can the eigenvalue spectrum of activation covariance matrices serve as a reliable indicator of whether an LLM is producing factual or creative output? Second, do universal results from RMT—such as the Marchenko-Pastur law, BBP phase transition, and Tracy-Widom statistics—apply meaningfully to the structured, non-random activation matrices produced by trained neural networks? Third, can the layer-wise evolution of spectral metrics across a transformer's depth be understood through the lens of renormalization group theory, where successive layers coarse-grain the representation space in a manner analogous to physical systems flowing toward fixed points?</w:t>
      </w:r>
      <w:r w:rsidDel="00000000" w:rsidR="00000000" w:rsidRPr="00000000">
        <w:rPr>
          <w:rtl w:val="0"/>
        </w:rPr>
      </w:r>
    </w:p>
    <w:p w:rsidR="00000000" w:rsidDel="00000000" w:rsidP="00000000" w:rsidRDefault="00000000" w:rsidRPr="00000000" w14:paraId="00000067">
      <w:pPr>
        <w:pStyle w:val="Heading2"/>
        <w:pBdr>
          <w:left w:color="c9a84c" w:space="10" w:sz="10" w:val="single"/>
        </w:pBdr>
        <w:spacing w:after="180" w:before="360" w:line="360" w:lineRule="auto"/>
        <w:ind w:left="200" w:firstLine="0"/>
        <w:jc w:val="left"/>
        <w:rPr/>
      </w:pPr>
      <w:bookmarkStart w:colFirst="0" w:colLast="0" w:name="_lneosmgs1jbe" w:id="4"/>
      <w:bookmarkEnd w:id="4"/>
      <w:r w:rsidDel="00000000" w:rsidR="00000000" w:rsidRPr="00000000">
        <w:rPr>
          <w:rFonts w:ascii="Times New Roman" w:cs="Times New Roman" w:eastAsia="Times New Roman" w:hAnsi="Times New Roman"/>
          <w:b w:val="1"/>
          <w:bCs w:val="1"/>
          <w:color w:val="c9a84c"/>
          <w:sz w:val="30"/>
          <w:szCs w:val="30"/>
          <w:rtl w:val="0"/>
        </w:rPr>
        <w:t xml:space="preserve">1.3 Contributions</w:t>
      </w:r>
      <w:r w:rsidDel="00000000" w:rsidR="00000000" w:rsidRPr="00000000">
        <w:rPr>
          <w:rtl w:val="0"/>
        </w:rPr>
      </w:r>
    </w:p>
    <w:p w:rsidR="00000000" w:rsidDel="00000000" w:rsidP="00000000" w:rsidRDefault="00000000" w:rsidRPr="00000000" w14:paraId="0000006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primary contributions of this work are fourfold. First, we establish the first systematic application of RMT to LLM activation analysis, demonstrating that the Marchenko-Pastur law provides a meaningful baseline against which to measure the degree of structure in activation covariance matrices. Second, we identify the BBP phase transition as the key spectral signature distinguishing factual from creative generation, providing both theoretical grounding and empirical validation. Third, we introduce the spectral free energy F = U - TS_spec as a unifying thermodynamic framework that naturally explains the observed spectral dichotomy. Fourth, we characterize the layer-wise evolution of spectral metrics as an RG flow, revealing that intermediate transformer layers serve as a critical region where the model transitions between high-entropy and low-entropy phases of representation.</w:t>
      </w:r>
      <w:r w:rsidDel="00000000" w:rsidR="00000000" w:rsidRPr="00000000">
        <w:rPr>
          <w:rtl w:val="0"/>
        </w:rPr>
      </w:r>
    </w:p>
    <w:p w:rsidR="00000000" w:rsidDel="00000000" w:rsidP="00000000" w:rsidRDefault="00000000" w:rsidRPr="00000000" w14:paraId="00000069">
      <w:pPr>
        <w:pStyle w:val="Heading2"/>
        <w:pBdr>
          <w:left w:color="c9a84c" w:space="10" w:sz="10" w:val="single"/>
        </w:pBdr>
        <w:spacing w:after="180" w:before="360" w:line="360" w:lineRule="auto"/>
        <w:ind w:left="200" w:firstLine="0"/>
        <w:jc w:val="left"/>
        <w:rPr/>
      </w:pPr>
      <w:bookmarkStart w:colFirst="0" w:colLast="0" w:name="_n3eu5abqsseq" w:id="5"/>
      <w:bookmarkEnd w:id="5"/>
      <w:r w:rsidDel="00000000" w:rsidR="00000000" w:rsidRPr="00000000">
        <w:rPr>
          <w:rFonts w:ascii="Times New Roman" w:cs="Times New Roman" w:eastAsia="Times New Roman" w:hAnsi="Times New Roman"/>
          <w:b w:val="1"/>
          <w:bCs w:val="1"/>
          <w:color w:val="c9a84c"/>
          <w:sz w:val="30"/>
          <w:szCs w:val="30"/>
          <w:rtl w:val="0"/>
        </w:rPr>
        <w:t xml:space="preserve">1.4 Paper Structure</w:t>
      </w:r>
      <w:r w:rsidDel="00000000" w:rsidR="00000000" w:rsidRPr="00000000">
        <w:rPr>
          <w:rtl w:val="0"/>
        </w:rPr>
      </w:r>
    </w:p>
    <w:p w:rsidR="00000000" w:rsidDel="00000000" w:rsidP="00000000" w:rsidRDefault="00000000" w:rsidRPr="00000000" w14:paraId="0000006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remainder of this paper is organized as follows. Section 2 provides the theoretical foundations of Random Matrix Theory as applied to neural network activations, covering the Marchenko-Pastur law, BBP transition, Tracy-Widom statistics, and spectral form factors. Section 3 describes our experimental methodology, including the GPT-2 model, prompt design, activation extraction procedure, and spectral analysis pipeline. Section 4 presents the core experimental results on eigenvalue density, scree analysis, and participation ratio comparisons between factual and creative generation. Section 5 extends the analysis to advanced spectral metrics including temperature sweeps, cross-layer transfer, and prompt-length dependence. Section 6 develops the theoretical extensions including the free energy analogy, RG flow, and information-theoretic connections. Section 7 discusses implications, limitations, and future directions. Section 8 concludes with a summary of key findings.</w:t>
      </w:r>
      <w:r w:rsidDel="00000000" w:rsidR="00000000" w:rsidRPr="00000000">
        <w:rPr>
          <w:rtl w:val="0"/>
        </w:rPr>
      </w:r>
    </w:p>
    <w:p w:rsidR="00000000" w:rsidDel="00000000" w:rsidP="00000000" w:rsidRDefault="00000000" w:rsidRPr="00000000" w14:paraId="0000006B">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06C">
      <w:pPr>
        <w:pStyle w:val="Heading1"/>
        <w:pBdr>
          <w:bottom w:color="c9a84c" w:space="8" w:sz="4" w:val="single"/>
        </w:pBdr>
        <w:spacing w:after="240" w:before="480" w:line="400" w:lineRule="auto"/>
        <w:jc w:val="left"/>
        <w:rPr/>
      </w:pPr>
      <w:bookmarkStart w:colFirst="0" w:colLast="0" w:name="_qf7cjgrejga7" w:id="6"/>
      <w:bookmarkEnd w:id="6"/>
      <w:r w:rsidDel="00000000" w:rsidR="00000000" w:rsidRPr="00000000">
        <w:rPr>
          <w:rFonts w:ascii="Times New Roman" w:cs="Times New Roman" w:eastAsia="Times New Roman" w:hAnsi="Times New Roman"/>
          <w:b w:val="1"/>
          <w:bCs w:val="1"/>
          <w:color w:val="c9a84c"/>
          <w:sz w:val="36"/>
          <w:szCs w:val="36"/>
          <w:rtl w:val="0"/>
        </w:rPr>
        <w:t xml:space="preserve">2. Theoretical Foundations</w:t>
      </w:r>
      <w:r w:rsidDel="00000000" w:rsidR="00000000" w:rsidRPr="00000000">
        <w:rPr>
          <w:rtl w:val="0"/>
        </w:rPr>
      </w:r>
    </w:p>
    <w:p w:rsidR="00000000" w:rsidDel="00000000" w:rsidP="00000000" w:rsidRDefault="00000000" w:rsidRPr="00000000" w14:paraId="0000006D">
      <w:pPr>
        <w:pStyle w:val="Heading2"/>
        <w:pBdr>
          <w:left w:color="c9a84c" w:space="10" w:sz="10" w:val="single"/>
        </w:pBdr>
        <w:spacing w:after="180" w:before="360" w:line="360" w:lineRule="auto"/>
        <w:ind w:left="200" w:firstLine="0"/>
        <w:jc w:val="left"/>
        <w:rPr/>
      </w:pPr>
      <w:bookmarkStart w:colFirst="0" w:colLast="0" w:name="_fwppb6wzwzmw" w:id="7"/>
      <w:bookmarkEnd w:id="7"/>
      <w:r w:rsidDel="00000000" w:rsidR="00000000" w:rsidRPr="00000000">
        <w:rPr>
          <w:rFonts w:ascii="Times New Roman" w:cs="Times New Roman" w:eastAsia="Times New Roman" w:hAnsi="Times New Roman"/>
          <w:b w:val="1"/>
          <w:bCs w:val="1"/>
          <w:color w:val="c9a84c"/>
          <w:sz w:val="30"/>
          <w:szCs w:val="30"/>
          <w:rtl w:val="0"/>
        </w:rPr>
        <w:t xml:space="preserve">2.1 Marchenko-Pastur Law</w:t>
      </w:r>
      <w:r w:rsidDel="00000000" w:rsidR="00000000" w:rsidRPr="00000000">
        <w:rPr>
          <w:rtl w:val="0"/>
        </w:rPr>
      </w:r>
    </w:p>
    <w:p w:rsidR="00000000" w:rsidDel="00000000" w:rsidP="00000000" w:rsidRDefault="00000000" w:rsidRPr="00000000" w14:paraId="0000006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Marchenko-Pastur (MP) law is the cornerstone result of random matrix theory applied to sample covariance matrices. Given a data matrix X ∈ R^{T×N} whose entries are independent and identically distributed with zero mean and unit variance, the sample covariance matrix C = (1/T) X^T X has an eigenvalue spectrum that, in the limit N, T → ∞ with q = N/T ∈ (0, 1], converges almost surely to a deterministic density. This limiting spectral density is given by the Marchenko-Pastur distribution, which depends only on the aspect ratio q = N/T and takes the form shown below. The support of the MP distribution is bounded by lambda_- = (1 - sqrt(q))^2 and lambda_+ = (1 + sqrt(q))^2, with all eigenvalues of a pure noise covariance matrix confined to this interval with probability one in the asymptotic limit.</w:t>
      </w:r>
      <w:r w:rsidDel="00000000" w:rsidR="00000000" w:rsidRPr="00000000">
        <w:rPr>
          <w:rtl w:val="0"/>
        </w:rPr>
      </w:r>
    </w:p>
    <w:tbl>
      <w:tblPr>
        <w:tblStyle w:val="Table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6F">
            <w:pPr>
              <w:jc w:val="center"/>
              <w:rPr/>
            </w:pPr>
            <w:r w:rsidDel="00000000" w:rsidR="00000000" w:rsidRPr="00000000">
              <w:rPr/>
              <w:drawing>
                <wp:inline distB="0" distT="0" distL="0" distR="0">
                  <wp:extent cx="3619500" cy="819150"/>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619500" cy="8191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0">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2-1: Marchenko-Pastur spectral density</w:t>
      </w:r>
      <w:r w:rsidDel="00000000" w:rsidR="00000000" w:rsidRPr="00000000">
        <w:rPr>
          <w:rtl w:val="0"/>
        </w:rPr>
      </w:r>
    </w:p>
    <w:tbl>
      <w:tblPr>
        <w:tblStyle w:val="Table6"/>
        <w:tblW w:w="8685.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685"/>
        <w:tblGridChange w:id="0">
          <w:tblGrid>
            <w:gridCol w:w="8685"/>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1">
            <w:pPr>
              <w:jc w:val="center"/>
              <w:rPr/>
            </w:pPr>
            <w:r w:rsidDel="00000000" w:rsidR="00000000" w:rsidRPr="00000000">
              <w:rPr/>
              <w:drawing>
                <wp:inline distB="0" distT="0" distL="0" distR="0">
                  <wp:extent cx="3238500" cy="428625"/>
                  <wp:effectExtent b="0" l="0" r="0" t="0"/>
                  <wp:docPr id="9"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323850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2">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2-2: MP law support boundaries</w:t>
      </w:r>
      <w:r w:rsidDel="00000000" w:rsidR="00000000" w:rsidRPr="00000000">
        <w:rPr>
          <w:rtl w:val="0"/>
        </w:rPr>
      </w:r>
    </w:p>
    <w:p w:rsidR="00000000" w:rsidDel="00000000" w:rsidP="00000000" w:rsidRDefault="00000000" w:rsidRPr="00000000" w14:paraId="0000007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For GPT-2 with hidden dimension N = 768 and typical sequence length T = 200, the aspect ratio q = N/T = 3.84. When q &gt; 1 (the “1/p” regime), the MP distribution is modified: exactly N - T eigenvalues are exactly zero, and the remaining T eigenvalues follow the scaled MP distribution with effective ratio 1/q. This results in lambda_+ = (1 + sqrt(1/q))^2 = (1 + 1/sqrt(q))^2, yielding a theoretical upper bound for the bulk eigenvalue distribution. Any eigenvalue significantly exceeding this bound indicates the presence of a structured signal component that cannot be explained by random noise alone.</w:t>
      </w:r>
      <w:r w:rsidDel="00000000" w:rsidR="00000000" w:rsidRPr="00000000">
        <w:rPr>
          <w:rtl w:val="0"/>
        </w:rPr>
      </w:r>
    </w:p>
    <w:p w:rsidR="00000000" w:rsidDel="00000000" w:rsidP="00000000" w:rsidRDefault="00000000" w:rsidRPr="00000000" w14:paraId="00000074">
      <w:pPr>
        <w:pStyle w:val="Heading2"/>
        <w:pBdr>
          <w:left w:color="c9a84c" w:space="10" w:sz="10" w:val="single"/>
        </w:pBdr>
        <w:spacing w:after="180" w:before="360" w:line="360" w:lineRule="auto"/>
        <w:ind w:left="200" w:firstLine="0"/>
        <w:jc w:val="left"/>
        <w:rPr/>
      </w:pPr>
      <w:bookmarkStart w:colFirst="0" w:colLast="0" w:name="_s23gqkb4h5r" w:id="8"/>
      <w:bookmarkEnd w:id="8"/>
      <w:r w:rsidDel="00000000" w:rsidR="00000000" w:rsidRPr="00000000">
        <w:rPr>
          <w:rFonts w:ascii="Times New Roman" w:cs="Times New Roman" w:eastAsia="Times New Roman" w:hAnsi="Times New Roman"/>
          <w:b w:val="1"/>
          <w:bCs w:val="1"/>
          <w:color w:val="c9a84c"/>
          <w:sz w:val="30"/>
          <w:szCs w:val="30"/>
          <w:rtl w:val="0"/>
        </w:rPr>
        <w:t xml:space="preserve">2.2 BBP Phase Transition</w:t>
      </w:r>
      <w:r w:rsidDel="00000000" w:rsidR="00000000" w:rsidRPr="00000000">
        <w:rPr>
          <w:rtl w:val="0"/>
        </w:rPr>
      </w:r>
    </w:p>
    <w:p w:rsidR="00000000" w:rsidDel="00000000" w:rsidP="00000000" w:rsidRDefault="00000000" w:rsidRPr="00000000" w14:paraId="0000007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Baik-Ben Arous-Peché (BBP) phase transition describes a fundamental phenomenon in random matrix theory: the emergence of outlier eigenvalues from the bulk spectrum when a structured signal is added to a random matrix. Consider a rank-one perturbation of the form C = C_noise + sigma * u * u^T, where C_noise is a Wishart random matrix and u is a fixed unit vector. As the signal strength sigma increases past a critical threshold sigma_c, the largest eigenvalue of C detaches from the bulk and separates from lambda_+ as an isolated outlier. This transition is sharp in the asymptotic limit and provides a mathematically precise criterion for detecting signal in high-dimensional noisy data.</w:t>
      </w:r>
      <w:r w:rsidDel="00000000" w:rsidR="00000000" w:rsidRPr="00000000">
        <w:rPr>
          <w:rtl w:val="0"/>
        </w:rPr>
      </w:r>
    </w:p>
    <w:tbl>
      <w:tblPr>
        <w:tblStyle w:val="Table7"/>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6">
            <w:pPr>
              <w:jc w:val="center"/>
              <w:rPr/>
            </w:pPr>
            <w:r w:rsidDel="00000000" w:rsidR="00000000" w:rsidRPr="00000000">
              <w:rPr/>
              <w:drawing>
                <wp:inline distB="0" distT="0" distL="0" distR="0">
                  <wp:extent cx="3619500" cy="3810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619500" cy="381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7">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2-3: BBP transition criterion</w:t>
      </w:r>
      <w:r w:rsidDel="00000000" w:rsidR="00000000" w:rsidRPr="00000000">
        <w:rPr>
          <w:rtl w:val="0"/>
        </w:rPr>
      </w:r>
    </w:p>
    <w:p w:rsidR="00000000" w:rsidDel="00000000" w:rsidP="00000000" w:rsidRDefault="00000000" w:rsidRPr="00000000" w14:paraId="0000007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the context of LLM activations, the BBP transition provides a natural interpretation for the spectral differences between factual and creative generation. Factual prompts activate specific, well-structured representations in the model's hidden states, producing a covariance matrix with a strong rank-one component that pushes the largest eigenvalue above the MP bound. Creative prompts, by contrast, engage a more distributed set of representations, resulting in a covariance matrix whose spectrum remains within the bulk. The ratio lambda_max/lambda_+ thus serves as a direct measure of the “signal strength” in the model's activation space, with values greater than one indicating a BBP-type phase transition into a factual generation regime.</w:t>
      </w:r>
      <w:r w:rsidDel="00000000" w:rsidR="00000000" w:rsidRPr="00000000">
        <w:rPr>
          <w:rtl w:val="0"/>
        </w:rPr>
      </w:r>
    </w:p>
    <w:p w:rsidR="00000000" w:rsidDel="00000000" w:rsidP="00000000" w:rsidRDefault="00000000" w:rsidRPr="00000000" w14:paraId="00000079">
      <w:pPr>
        <w:pStyle w:val="Heading2"/>
        <w:pBdr>
          <w:left w:color="c9a84c" w:space="10" w:sz="10" w:val="single"/>
        </w:pBdr>
        <w:spacing w:after="180" w:before="360" w:line="360" w:lineRule="auto"/>
        <w:ind w:left="200" w:firstLine="0"/>
        <w:jc w:val="left"/>
        <w:rPr/>
      </w:pPr>
      <w:bookmarkStart w:colFirst="0" w:colLast="0" w:name="_fafx3mds5kol" w:id="9"/>
      <w:bookmarkEnd w:id="9"/>
      <w:r w:rsidDel="00000000" w:rsidR="00000000" w:rsidRPr="00000000">
        <w:rPr>
          <w:rFonts w:ascii="Times New Roman" w:cs="Times New Roman" w:eastAsia="Times New Roman" w:hAnsi="Times New Roman"/>
          <w:b w:val="1"/>
          <w:bCs w:val="1"/>
          <w:color w:val="c9a84c"/>
          <w:sz w:val="30"/>
          <w:szCs w:val="30"/>
          <w:rtl w:val="0"/>
        </w:rPr>
        <w:t xml:space="preserve">2.3 Tracy-Widom Distribution</w:t>
      </w:r>
      <w:r w:rsidDel="00000000" w:rsidR="00000000" w:rsidRPr="00000000">
        <w:rPr>
          <w:rtl w:val="0"/>
        </w:rPr>
      </w:r>
    </w:p>
    <w:p w:rsidR="00000000" w:rsidDel="00000000" w:rsidP="00000000" w:rsidRDefault="00000000" w:rsidRPr="00000000" w14:paraId="0000007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Tracy-Widom distribution characterizes the fluctuations of the largest eigenvalue of a random matrix around the edge of the bulk spectrum. For an N × N matrix from the Gaussian Unitary Ensemble (GUE), the distribution of the rescaled largest eigenvalue converges to the Tracy-Widom distribution F_2 as N → ∞. Specifically, the largest eigenvalue lambda_max fluctuates on the scale N^{-2/3} around the theoretical edge, and the probability of observing a value below s is given by the Tracy-Widom distribution. This result is universal: it depends only on the symmetry class of the matrix (GOE, GUE, GSE for real, complex, and quaternion entries respectively) and not on the specific distribution of matrix entries.</w:t>
      </w:r>
      <w:r w:rsidDel="00000000" w:rsidR="00000000" w:rsidRPr="00000000">
        <w:rPr>
          <w:rtl w:val="0"/>
        </w:rPr>
      </w:r>
    </w:p>
    <w:tbl>
      <w:tblPr>
        <w:tblStyle w:val="Table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7B">
            <w:pPr>
              <w:jc w:val="center"/>
              <w:rPr/>
            </w:pPr>
            <w:r w:rsidDel="00000000" w:rsidR="00000000" w:rsidRPr="00000000">
              <w:rPr/>
              <w:drawing>
                <wp:inline distB="0" distT="0" distL="0" distR="0">
                  <wp:extent cx="3619500" cy="714375"/>
                  <wp:effectExtent b="0" l="0" r="0" t="0"/>
                  <wp:docPr id="1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3619500" cy="714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C">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2-4: Tracy-Widom convergence for largest eigenvalue</w:t>
      </w:r>
      <w:r w:rsidDel="00000000" w:rsidR="00000000" w:rsidRPr="00000000">
        <w:rPr>
          <w:rtl w:val="0"/>
        </w:rPr>
      </w:r>
    </w:p>
    <w:p w:rsidR="00000000" w:rsidDel="00000000" w:rsidP="00000000" w:rsidRDefault="00000000" w:rsidRPr="00000000" w14:paraId="0000007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For LLM activation analysis, the Tracy-Widom distribution provides a rigorous statistical test for the BBP transition. Under the null hypothesis that the activation covariance matrix is pure noise (no structured signal), the rescaled largest eigenvalue should follow the Tracy-Widom distribution. A statistically significant deviation—specifically, a value of lambda_max that exceeds the Tracy-Widom prediction at a given significance level—constitutes formal evidence for the presence of a signal component, i.e., a factual generation mode. The scaling N^{-2/3} is crucial: for N = 768, fluctuations are on the order of 768^{-2/3} ≈ 0.013, meaning that even small deviations from the theoretical edge are highly significant in the statistical sense.</w:t>
      </w:r>
      <w:r w:rsidDel="00000000" w:rsidR="00000000" w:rsidRPr="00000000">
        <w:rPr>
          <w:rtl w:val="0"/>
        </w:rPr>
      </w:r>
    </w:p>
    <w:p w:rsidR="00000000" w:rsidDel="00000000" w:rsidP="00000000" w:rsidRDefault="00000000" w:rsidRPr="00000000" w14:paraId="0000007E">
      <w:pPr>
        <w:pStyle w:val="Heading2"/>
        <w:pBdr>
          <w:left w:color="c9a84c" w:space="10" w:sz="10" w:val="single"/>
        </w:pBdr>
        <w:spacing w:after="180" w:before="360" w:line="360" w:lineRule="auto"/>
        <w:ind w:left="200" w:firstLine="0"/>
        <w:jc w:val="left"/>
        <w:rPr/>
      </w:pPr>
      <w:bookmarkStart w:colFirst="0" w:colLast="0" w:name="_9ew92nfknql6" w:id="10"/>
      <w:bookmarkEnd w:id="10"/>
      <w:r w:rsidDel="00000000" w:rsidR="00000000" w:rsidRPr="00000000">
        <w:rPr>
          <w:rFonts w:ascii="Times New Roman" w:cs="Times New Roman" w:eastAsia="Times New Roman" w:hAnsi="Times New Roman"/>
          <w:b w:val="1"/>
          <w:bCs w:val="1"/>
          <w:color w:val="c9a84c"/>
          <w:sz w:val="30"/>
          <w:szCs w:val="30"/>
          <w:rtl w:val="0"/>
        </w:rPr>
        <w:t xml:space="preserve">2.4 Spectral Form Factor</w:t>
      </w:r>
      <w:r w:rsidDel="00000000" w:rsidR="00000000" w:rsidRPr="00000000">
        <w:rPr>
          <w:rtl w:val="0"/>
        </w:rPr>
      </w:r>
    </w:p>
    <w:p w:rsidR="00000000" w:rsidDel="00000000" w:rsidP="00000000" w:rsidRDefault="00000000" w:rsidRPr="00000000" w14:paraId="0000007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form factor (SFF) provides a dynamical perspective on eigenvalue correlations by analyzing the two-point correlation function of the eigenvalue spectrum in the time (Fourier) domain. Defined as K(t) = |(1/N) sum_i exp(-i lambda_i t)|^2, the SFF captures the transition from an initial slope regime (dominated by the spectral density) through a dip (signaling the onset of spectral correlations) to a plateau (reflecting the long-range rigidity of the eigenvalue spectrum). For random matrices from the GUE, the SFF follows a universal form: the dip time t_dip ≈ 1/Delta (where Delta is the mean level spacing) and the plateau value K_plateau = 1/N.</w:t>
      </w:r>
      <w:r w:rsidDel="00000000" w:rsidR="00000000" w:rsidRPr="00000000">
        <w:rPr>
          <w:rtl w:val="0"/>
        </w:rPr>
      </w:r>
    </w:p>
    <w:tbl>
      <w:tblPr>
        <w:tblStyle w:val="Table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0">
            <w:pPr>
              <w:jc w:val="center"/>
              <w:rPr/>
            </w:pPr>
            <w:r w:rsidDel="00000000" w:rsidR="00000000" w:rsidRPr="00000000">
              <w:rPr/>
              <w:drawing>
                <wp:inline distB="0" distT="0" distL="0" distR="0">
                  <wp:extent cx="3238500" cy="1057275"/>
                  <wp:effectExtent b="0" l="0" r="0" t="0"/>
                  <wp:docPr id="10"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238500" cy="1057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1">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2-5: Spectral form factor definition</w:t>
      </w:r>
      <w:r w:rsidDel="00000000" w:rsidR="00000000" w:rsidRPr="00000000">
        <w:rPr>
          <w:rtl w:val="0"/>
        </w:rPr>
      </w:r>
    </w:p>
    <w:p w:rsidR="00000000" w:rsidDel="00000000" w:rsidP="00000000" w:rsidRDefault="00000000" w:rsidRPr="00000000" w14:paraId="0000008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our LLM application, the SFF provides a sensitive probe of the correlation structure within the eigenvalue spectrum. Factual generation, with its prominent outlier eigenvalue, produces an SFF that exhibits a pronounced early-time peak corresponding to the coherent oscillation driven by the outlier, followed by a delayed dip and an elevated plateau reflecting the compressed bulk spectrum. Creative generation, with its more uniform eigenvalue distribution, yields an SFF that more closely resembles the universal GUE prediction, with a smooth slope-dip-ramp-plateau structure. The comparison of empirical SFF curves with theoretical predictions thus provides a time-domain validation of the spectral differences observed in the eigenvalue density.</w:t>
      </w:r>
      <w:r w:rsidDel="00000000" w:rsidR="00000000" w:rsidRPr="00000000">
        <w:rPr>
          <w:rtl w:val="0"/>
        </w:rPr>
      </w:r>
    </w:p>
    <w:p w:rsidR="00000000" w:rsidDel="00000000" w:rsidP="00000000" w:rsidRDefault="00000000" w:rsidRPr="00000000" w14:paraId="00000083">
      <w:pPr>
        <w:pStyle w:val="Heading2"/>
        <w:pBdr>
          <w:left w:color="c9a84c" w:space="10" w:sz="10" w:val="single"/>
        </w:pBdr>
        <w:spacing w:after="180" w:before="360" w:line="360" w:lineRule="auto"/>
        <w:ind w:left="200" w:firstLine="0"/>
        <w:jc w:val="left"/>
        <w:rPr/>
      </w:pPr>
      <w:bookmarkStart w:colFirst="0" w:colLast="0" w:name="_cjhffrqgfuij" w:id="11"/>
      <w:bookmarkEnd w:id="11"/>
      <w:r w:rsidDel="00000000" w:rsidR="00000000" w:rsidRPr="00000000">
        <w:rPr>
          <w:rFonts w:ascii="Times New Roman" w:cs="Times New Roman" w:eastAsia="Times New Roman" w:hAnsi="Times New Roman"/>
          <w:b w:val="1"/>
          <w:bCs w:val="1"/>
          <w:color w:val="c9a84c"/>
          <w:sz w:val="30"/>
          <w:szCs w:val="30"/>
          <w:rtl w:val="0"/>
        </w:rPr>
        <w:t xml:space="preserve">2.5 Participation Ratio and Inverse Participation Ratio</w:t>
      </w:r>
      <w:r w:rsidDel="00000000" w:rsidR="00000000" w:rsidRPr="00000000">
        <w:rPr>
          <w:rtl w:val="0"/>
        </w:rPr>
      </w:r>
    </w:p>
    <w:p w:rsidR="00000000" w:rsidDel="00000000" w:rsidP="00000000" w:rsidRDefault="00000000" w:rsidRPr="00000000" w14:paraId="0000008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Participation Ratio (PR) quantifies the effective number of degrees of freedom in a vector or spectrum. For eigenvalues {lambda_i} of the covariance matrix, PR is defined as PR = (sum_i lambda_i)^2 / (sum_i lambda_i^2). A purely uniform spectrum (all eigenvalues equal) yields PR = N, while a spectrum dominated by a single eigenvalue yields PR ≈ 1. The Inverse Participation Ratio (IPR) measures the localization of a specific eigenvector: IPR = sum_i |v(i)|^4, where v is the eigenvector. A delocalized eigenvector (entries of similar magnitude) has IPR ≈ 1/N, while a localized eigenvector (concentrated on a few components) has IPR ≫ 1/N. Together, PR and IPR provide complementary views of the spectral structure: PR characterizes the global spread of the eigenvalue distribution, while IPR characterizes the local structure of individual eigenvectors.</w:t>
      </w:r>
      <w:r w:rsidDel="00000000" w:rsidR="00000000" w:rsidRPr="00000000">
        <w:rPr>
          <w:rtl w:val="0"/>
        </w:rPr>
      </w:r>
    </w:p>
    <w:tbl>
      <w:tblPr>
        <w:tblStyle w:val="Table1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5">
            <w:pPr>
              <w:jc w:val="center"/>
              <w:rPr/>
            </w:pPr>
            <w:r w:rsidDel="00000000" w:rsidR="00000000" w:rsidRPr="00000000">
              <w:rPr/>
              <w:drawing>
                <wp:inline distB="0" distT="0" distL="0" distR="0">
                  <wp:extent cx="3238500" cy="2238375"/>
                  <wp:effectExtent b="0" l="0" r="0" t="0"/>
                  <wp:docPr id="13"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3238500" cy="22383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6">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2-6: Participation Ratio</w:t>
      </w:r>
      <w:r w:rsidDel="00000000" w:rsidR="00000000" w:rsidRPr="00000000">
        <w:rPr>
          <w:rtl w:val="0"/>
        </w:rPr>
      </w:r>
    </w:p>
    <w:tbl>
      <w:tblPr>
        <w:tblStyle w:val="Table11"/>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7">
            <w:pPr>
              <w:jc w:val="center"/>
              <w:rPr/>
            </w:pPr>
            <w:r w:rsidDel="00000000" w:rsidR="00000000" w:rsidRPr="00000000">
              <w:rPr/>
              <w:drawing>
                <wp:inline distB="0" distT="0" distL="0" distR="0">
                  <wp:extent cx="2857500" cy="1181100"/>
                  <wp:effectExtent b="0" l="0" r="0" t="0"/>
                  <wp:docPr id="12"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2857500" cy="1181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8">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2-7: Inverse Participation Ratio</w:t>
      </w:r>
      <w:r w:rsidDel="00000000" w:rsidR="00000000" w:rsidRPr="00000000">
        <w:rPr>
          <w:rtl w:val="0"/>
        </w:rPr>
      </w:r>
    </w:p>
    <w:p w:rsidR="00000000" w:rsidDel="00000000" w:rsidP="00000000" w:rsidRDefault="00000000" w:rsidRPr="00000000" w14:paraId="00000089">
      <w:pPr>
        <w:pStyle w:val="Heading2"/>
        <w:pBdr>
          <w:left w:color="c9a84c" w:space="10" w:sz="10" w:val="single"/>
        </w:pBdr>
        <w:spacing w:after="180" w:before="360" w:line="360" w:lineRule="auto"/>
        <w:ind w:left="200" w:firstLine="0"/>
        <w:jc w:val="left"/>
        <w:rPr/>
      </w:pPr>
      <w:bookmarkStart w:colFirst="0" w:colLast="0" w:name="_zhc2zvl8s00w" w:id="12"/>
      <w:bookmarkEnd w:id="12"/>
      <w:r w:rsidDel="00000000" w:rsidR="00000000" w:rsidRPr="00000000">
        <w:rPr>
          <w:rFonts w:ascii="Times New Roman" w:cs="Times New Roman" w:eastAsia="Times New Roman" w:hAnsi="Times New Roman"/>
          <w:b w:val="1"/>
          <w:bCs w:val="1"/>
          <w:color w:val="c9a84c"/>
          <w:sz w:val="30"/>
          <w:szCs w:val="30"/>
          <w:rtl w:val="0"/>
        </w:rPr>
        <w:t xml:space="preserve">2.6 Spacing Ratio Distribution</w:t>
      </w:r>
      <w:r w:rsidDel="00000000" w:rsidR="00000000" w:rsidRPr="00000000">
        <w:rPr>
          <w:rtl w:val="0"/>
        </w:rPr>
      </w:r>
    </w:p>
    <w:p w:rsidR="00000000" w:rsidDel="00000000" w:rsidP="00000000" w:rsidRDefault="00000000" w:rsidRPr="00000000" w14:paraId="0000008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model-independent test for universal level statistics that avoids the need for spectral unfolding. For an ordered sequence of eigenvalues lambda_1 &lt; lambda_2 &lt; ... &lt; lambda_N, the spacing ratio is defined as r_n = min(delta_n, delta_{n-1}) / max(delta_n, delta_{n-1}), where delta_n = lambda_{n+1} - lambda_n. The distribution of r_n has known universal forms: for Poisson statistics (uncorrelated levels), p(r) = 2/(1+r)^2; for GUE statistics (correlated levels), p(r) = (27/4)(r + r^2)/(1 + r + r^2)^{5/2}. The advantage of the spacing ratio over the traditional nearest-neighbor spacing distribution is that it does not require the delicate unfolding procedure, making it more robust for finite-size systems such as LLM activation matrices.</w:t>
      </w:r>
      <w:r w:rsidDel="00000000" w:rsidR="00000000" w:rsidRPr="00000000">
        <w:rPr>
          <w:rtl w:val="0"/>
        </w:rPr>
      </w:r>
    </w:p>
    <w:tbl>
      <w:tblPr>
        <w:tblStyle w:val="Table1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8B">
            <w:pPr>
              <w:jc w:val="center"/>
              <w:rPr/>
            </w:pPr>
            <w:r w:rsidDel="00000000" w:rsidR="00000000" w:rsidRPr="00000000">
              <w:rPr/>
              <w:drawing>
                <wp:inline distB="0" distT="0" distL="0" distR="0">
                  <wp:extent cx="3619500" cy="504825"/>
                  <wp:effectExtent b="0" l="0" r="0" t="0"/>
                  <wp:docPr id="15"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619500" cy="5048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C">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2-8: Spacing ratio definition</w:t>
      </w:r>
      <w:r w:rsidDel="00000000" w:rsidR="00000000" w:rsidRPr="00000000">
        <w:rPr>
          <w:rtl w:val="0"/>
        </w:rPr>
      </w:r>
    </w:p>
    <w:p w:rsidR="00000000" w:rsidDel="00000000" w:rsidP="00000000" w:rsidRDefault="00000000" w:rsidRPr="00000000" w14:paraId="0000008D">
      <w:pPr>
        <w:keepNext w:val="1"/>
        <w:spacing w:after="100" w:before="200" w:lineRule="auto"/>
        <w:jc w:val="center"/>
        <w:rPr/>
      </w:pPr>
      <w:r w:rsidDel="00000000" w:rsidR="00000000" w:rsidRPr="00000000">
        <w:rPr>
          <w:rFonts w:ascii="Times New Roman" w:cs="Times New Roman" w:eastAsia="Times New Roman" w:hAnsi="Times New Roman"/>
          <w:b w:val="1"/>
          <w:bCs w:val="1"/>
          <w:color w:val="8b7535"/>
          <w:sz w:val="21"/>
          <w:szCs w:val="21"/>
          <w:rtl w:val="0"/>
        </w:rPr>
        <w:t xml:space="preserve">Table 2-1: Universal Spacing Ratio Distributions</w:t>
      </w:r>
      <w:r w:rsidDel="00000000" w:rsidR="00000000" w:rsidRPr="00000000">
        <w:rPr>
          <w:rtl w:val="0"/>
        </w:rPr>
      </w:r>
    </w:p>
    <w:tbl>
      <w:tblPr>
        <w:tblStyle w:val="Table1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5"/>
        <w:gridCol w:w="3450"/>
        <w:gridCol w:w="3465"/>
        <w:tblGridChange w:id="0">
          <w:tblGrid>
            <w:gridCol w:w="1875"/>
            <w:gridCol w:w="3450"/>
            <w:gridCol w:w="3465"/>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E">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Symmetry Class</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Spacing Ratio p(r)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9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Physical Interpretation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1">
            <w:pPr>
              <w:jc w:val="center"/>
              <w:rPr/>
            </w:pPr>
            <w:r w:rsidDel="00000000" w:rsidR="00000000" w:rsidRPr="00000000">
              <w:rPr>
                <w:rFonts w:ascii="Times New Roman" w:cs="Times New Roman" w:eastAsia="Times New Roman" w:hAnsi="Times New Roman"/>
                <w:color w:val="1a1a14"/>
                <w:sz w:val="20"/>
                <w:szCs w:val="20"/>
                <w:rtl w:val="0"/>
              </w:rPr>
              <w:t xml:space="preserve">Poisson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2">
            <w:pPr>
              <w:jc w:val="center"/>
              <w:rPr/>
            </w:pPr>
            <w:r w:rsidDel="00000000" w:rsidR="00000000" w:rsidRPr="00000000">
              <w:rPr>
                <w:rFonts w:ascii="Times New Roman" w:cs="Times New Roman" w:eastAsia="Times New Roman" w:hAnsi="Times New Roman"/>
                <w:color w:val="1a1a14"/>
                <w:sz w:val="20"/>
                <w:szCs w:val="20"/>
                <w:rtl w:val="0"/>
              </w:rPr>
              <w:t xml:space="preserve">2/(1+r)^2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3">
            <w:pPr>
              <w:jc w:val="center"/>
              <w:rPr/>
            </w:pPr>
            <w:r w:rsidDel="00000000" w:rsidR="00000000" w:rsidRPr="00000000">
              <w:rPr>
                <w:rFonts w:ascii="Times New Roman" w:cs="Times New Roman" w:eastAsia="Times New Roman" w:hAnsi="Times New Roman"/>
                <w:color w:val="1a1a14"/>
                <w:sz w:val="20"/>
                <w:szCs w:val="20"/>
                <w:rtl w:val="0"/>
              </w:rPr>
              <w:t xml:space="preserve">Uncorrelated levels, integrable system</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color w:val="1a1a14"/>
                <w:sz w:val="20"/>
                <w:szCs w:val="20"/>
                <w:rtl w:val="0"/>
              </w:rPr>
              <w:t xml:space="preserve">GOE (beta=1)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5">
            <w:pPr>
              <w:jc w:val="center"/>
              <w:rPr/>
            </w:pPr>
            <w:r w:rsidDel="00000000" w:rsidR="00000000" w:rsidRPr="00000000">
              <w:rPr>
                <w:rFonts w:ascii="Times New Roman" w:cs="Times New Roman" w:eastAsia="Times New Roman" w:hAnsi="Times New Roman"/>
                <w:color w:val="1a1a14"/>
                <w:sz w:val="20"/>
                <w:szCs w:val="20"/>
                <w:rtl w:val="0"/>
              </w:rPr>
              <w:t xml:space="preserve">Numerical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color w:val="1a1a14"/>
                <w:sz w:val="20"/>
                <w:szCs w:val="20"/>
                <w:rtl w:val="0"/>
              </w:rPr>
              <w:t xml:space="preserve">Time-reversal symmetric, real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7">
            <w:pPr>
              <w:jc w:val="center"/>
              <w:rPr/>
            </w:pPr>
            <w:r w:rsidDel="00000000" w:rsidR="00000000" w:rsidRPr="00000000">
              <w:rPr>
                <w:rFonts w:ascii="Times New Roman" w:cs="Times New Roman" w:eastAsia="Times New Roman" w:hAnsi="Times New Roman"/>
                <w:color w:val="1a1a14"/>
                <w:sz w:val="20"/>
                <w:szCs w:val="20"/>
                <w:rtl w:val="0"/>
              </w:rPr>
              <w:t xml:space="preserve">GUE (beta=2)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color w:val="1a1a14"/>
                <w:sz w:val="20"/>
                <w:szCs w:val="20"/>
                <w:rtl w:val="0"/>
              </w:rPr>
              <w:t xml:space="preserve">(27/4)(r+r^2)/(1+r+r^2)^{5/2}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color w:val="1a1a14"/>
                <w:sz w:val="20"/>
                <w:szCs w:val="20"/>
                <w:rtl w:val="0"/>
              </w:rPr>
              <w:t xml:space="preserve">No time-reversal, complex matrices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color w:val="1a1a14"/>
                <w:sz w:val="20"/>
                <w:szCs w:val="20"/>
                <w:rtl w:val="0"/>
              </w:rPr>
              <w:t xml:space="preserve">Wishart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1a1a14"/>
                <w:sz w:val="20"/>
                <w:szCs w:val="20"/>
                <w:rtl w:val="0"/>
              </w:rPr>
              <w:t xml:space="preserve">Modified GUE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9C">
            <w:pPr>
              <w:jc w:val="center"/>
              <w:rPr/>
            </w:pPr>
            <w:r w:rsidDel="00000000" w:rsidR="00000000" w:rsidRPr="00000000">
              <w:rPr>
                <w:rFonts w:ascii="Times New Roman" w:cs="Times New Roman" w:eastAsia="Times New Roman" w:hAnsi="Times New Roman"/>
                <w:color w:val="1a1a14"/>
                <w:sz w:val="20"/>
                <w:szCs w:val="20"/>
                <w:rtl w:val="0"/>
              </w:rPr>
              <w:t xml:space="preserve">Sample covariance, product matrices</w:t>
            </w:r>
            <w:r w:rsidDel="00000000" w:rsidR="00000000" w:rsidRPr="00000000">
              <w:rPr>
                <w:rtl w:val="0"/>
              </w:rPr>
            </w:r>
          </w:p>
        </w:tc>
      </w:tr>
    </w:tbl>
    <w:p w:rsidR="00000000" w:rsidDel="00000000" w:rsidP="00000000" w:rsidRDefault="00000000" w:rsidRPr="00000000" w14:paraId="0000009D">
      <w:pPr>
        <w:spacing w:after="200" w:lineRule="auto"/>
        <w:rPr/>
      </w:pPr>
      <w:r w:rsidDel="00000000" w:rsidR="00000000" w:rsidRPr="00000000">
        <w:rPr>
          <w:rtl w:val="0"/>
        </w:rPr>
      </w:r>
    </w:p>
    <w:p w:rsidR="00000000" w:rsidDel="00000000" w:rsidP="00000000" w:rsidRDefault="00000000" w:rsidRPr="00000000" w14:paraId="0000009E">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09F">
      <w:pPr>
        <w:pStyle w:val="Heading1"/>
        <w:pBdr>
          <w:bottom w:color="c9a84c" w:space="8" w:sz="4" w:val="single"/>
        </w:pBdr>
        <w:spacing w:after="240" w:before="480" w:line="400" w:lineRule="auto"/>
        <w:jc w:val="left"/>
        <w:rPr/>
      </w:pPr>
      <w:bookmarkStart w:colFirst="0" w:colLast="0" w:name="_7pz0d9ib6mw5" w:id="13"/>
      <w:bookmarkEnd w:id="13"/>
      <w:r w:rsidDel="00000000" w:rsidR="00000000" w:rsidRPr="00000000">
        <w:rPr>
          <w:rFonts w:ascii="Times New Roman" w:cs="Times New Roman" w:eastAsia="Times New Roman" w:hAnsi="Times New Roman"/>
          <w:b w:val="1"/>
          <w:bCs w:val="1"/>
          <w:color w:val="c9a84c"/>
          <w:sz w:val="36"/>
          <w:szCs w:val="36"/>
          <w:rtl w:val="0"/>
        </w:rPr>
        <w:t xml:space="preserve">3. Methodology</w:t>
      </w:r>
      <w:r w:rsidDel="00000000" w:rsidR="00000000" w:rsidRPr="00000000">
        <w:rPr>
          <w:rtl w:val="0"/>
        </w:rPr>
      </w:r>
    </w:p>
    <w:p w:rsidR="00000000" w:rsidDel="00000000" w:rsidP="00000000" w:rsidRDefault="00000000" w:rsidRPr="00000000" w14:paraId="000000A0">
      <w:pPr>
        <w:pStyle w:val="Heading2"/>
        <w:pBdr>
          <w:left w:color="c9a84c" w:space="10" w:sz="10" w:val="single"/>
        </w:pBdr>
        <w:spacing w:after="180" w:before="360" w:line="360" w:lineRule="auto"/>
        <w:ind w:left="200" w:firstLine="0"/>
        <w:jc w:val="left"/>
        <w:rPr/>
      </w:pPr>
      <w:bookmarkStart w:colFirst="0" w:colLast="0" w:name="_cyoalgte2b9f" w:id="14"/>
      <w:bookmarkEnd w:id="14"/>
      <w:r w:rsidDel="00000000" w:rsidR="00000000" w:rsidRPr="00000000">
        <w:rPr>
          <w:rFonts w:ascii="Times New Roman" w:cs="Times New Roman" w:eastAsia="Times New Roman" w:hAnsi="Times New Roman"/>
          <w:b w:val="1"/>
          <w:bCs w:val="1"/>
          <w:color w:val="c9a84c"/>
          <w:sz w:val="30"/>
          <w:szCs w:val="30"/>
          <w:rtl w:val="0"/>
        </w:rPr>
        <w:t xml:space="preserve">3.1 Model and Activation Extraction</w:t>
      </w:r>
      <w:r w:rsidDel="00000000" w:rsidR="00000000" w:rsidRPr="00000000">
        <w:rPr>
          <w:rtl w:val="0"/>
        </w:rPr>
      </w:r>
    </w:p>
    <w:p w:rsidR="00000000" w:rsidDel="00000000" w:rsidP="00000000" w:rsidRDefault="00000000" w:rsidRPr="00000000" w14:paraId="000000A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employ GPT-2 (124M parameters) as our primary model, chosen for its widespread availability, well-documented architecture, and representative transformer structure. GPT-2 consists of 12 transformer layers, each containing a multi-head self-attention mechanism (12 heads, 64 dimensions each) followed by a position-wise feed-forward network (768 → 3072 → 768). We extract hidden-state activations from all 12 layers during forward passes on carefully designed prompts, capturing the residual stream representations that serve as the primary information pathway through the model. The activation tensor at each layer has shape (T, N) where T is the sequence length and N = 768 is the hidden dimension.</w:t>
      </w:r>
      <w:r w:rsidDel="00000000" w:rsidR="00000000" w:rsidRPr="00000000">
        <w:rPr>
          <w:rtl w:val="0"/>
        </w:rPr>
      </w:r>
    </w:p>
    <w:p w:rsidR="00000000" w:rsidDel="00000000" w:rsidP="00000000" w:rsidRDefault="00000000" w:rsidRPr="00000000" w14:paraId="000000A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activation extraction procedure is as follows. For each prompt, we perform a forward pass through GPT-2 and record the hidden state at the output of each transformer layer. We focus on the last token position (autoregressive generation context) and aggregate across multiple prompts to form the data matrix X ∈ R^{T×N}, where T represents the number of prompts and N the hidden dimension. The covariance matrix C = (1/T) X^T X is then computed, and its eigenvalue spectrum is analyzed using the full suite of RMT tools described in Section 2. We compute all spectral metrics both for individual layers and for the combined activation matrix, enabling cross-layer comparison and layer-wise spectral profiling.</w:t>
      </w:r>
      <w:r w:rsidDel="00000000" w:rsidR="00000000" w:rsidRPr="00000000">
        <w:rPr>
          <w:rtl w:val="0"/>
        </w:rPr>
      </w:r>
    </w:p>
    <w:p w:rsidR="00000000" w:rsidDel="00000000" w:rsidP="00000000" w:rsidRDefault="00000000" w:rsidRPr="00000000" w14:paraId="000000A3">
      <w:pPr>
        <w:pStyle w:val="Heading2"/>
        <w:pBdr>
          <w:left w:color="c9a84c" w:space="10" w:sz="10" w:val="single"/>
        </w:pBdr>
        <w:spacing w:after="180" w:before="360" w:line="360" w:lineRule="auto"/>
        <w:ind w:left="200" w:firstLine="0"/>
        <w:jc w:val="left"/>
        <w:rPr/>
      </w:pPr>
      <w:bookmarkStart w:colFirst="0" w:colLast="0" w:name="_sn9qdzkb28ye" w:id="15"/>
      <w:bookmarkEnd w:id="15"/>
      <w:r w:rsidDel="00000000" w:rsidR="00000000" w:rsidRPr="00000000">
        <w:rPr>
          <w:rFonts w:ascii="Times New Roman" w:cs="Times New Roman" w:eastAsia="Times New Roman" w:hAnsi="Times New Roman"/>
          <w:b w:val="1"/>
          <w:bCs w:val="1"/>
          <w:color w:val="c9a84c"/>
          <w:sz w:val="30"/>
          <w:szCs w:val="30"/>
          <w:rtl w:val="0"/>
        </w:rPr>
        <w:t xml:space="preserve">3.2 Prompt Design: Factual vs. Creative</w:t>
      </w:r>
      <w:r w:rsidDel="00000000" w:rsidR="00000000" w:rsidRPr="00000000">
        <w:rPr>
          <w:rtl w:val="0"/>
        </w:rPr>
      </w:r>
    </w:p>
    <w:p w:rsidR="00000000" w:rsidDel="00000000" w:rsidP="00000000" w:rsidRDefault="00000000" w:rsidRPr="00000000" w14:paraId="000000A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To systematically probe the spectral differences between factual and creative generation modes, we design two complementary prompt sets. The factual prompt set consists of 200 prompts designed to elicit deterministic, knowledge-based responses: capital cities, mathematical facts, historical dates, scientific definitions, and other well-defined factual content. Examples include “The capital of France is”, “2 + 2 equals”, and “Water freezes at”. The creative prompt set consists of 200 prompts designed to encourage open-ended, imaginative generation: story continuations, poetry prompts, hypothetical scenarios, and abstract concept associations. Examples include “Once upon a time in a distant galaxy”, “The meaning of beauty is”, and “If clouds could speak”. Each prompt set is carefully balanced for length (mean 15 tokens, range 5-30) to control for potential confounds.</w:t>
      </w:r>
      <w:r w:rsidDel="00000000" w:rsidR="00000000" w:rsidRPr="00000000">
        <w:rPr>
          <w:rtl w:val="0"/>
        </w:rPr>
      </w:r>
    </w:p>
    <w:p w:rsidR="00000000" w:rsidDel="00000000" w:rsidP="00000000" w:rsidRDefault="00000000" w:rsidRPr="00000000" w14:paraId="000000A5">
      <w:pPr>
        <w:keepNext w:val="1"/>
        <w:spacing w:after="100" w:before="200" w:lineRule="auto"/>
        <w:jc w:val="center"/>
        <w:rPr/>
      </w:pPr>
      <w:r w:rsidDel="00000000" w:rsidR="00000000" w:rsidRPr="00000000">
        <w:rPr>
          <w:rFonts w:ascii="Times New Roman" w:cs="Times New Roman" w:eastAsia="Times New Roman" w:hAnsi="Times New Roman"/>
          <w:b w:val="1"/>
          <w:bCs w:val="1"/>
          <w:color w:val="8b7535"/>
          <w:sz w:val="21"/>
          <w:szCs w:val="21"/>
          <w:rtl w:val="0"/>
        </w:rPr>
        <w:t xml:space="preserve">Table 3-1: Prompt Dataset Statistics</w:t>
      </w:r>
      <w:r w:rsidDel="00000000" w:rsidR="00000000" w:rsidRPr="00000000">
        <w:rPr>
          <w:rtl w:val="0"/>
        </w:rPr>
      </w:r>
    </w:p>
    <w:tbl>
      <w:tblPr>
        <w:tblStyle w:val="Table1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1845"/>
        <w:gridCol w:w="2085"/>
        <w:gridCol w:w="2970"/>
        <w:tblGridChange w:id="0">
          <w:tblGrid>
            <w:gridCol w:w="1890"/>
            <w:gridCol w:w="1845"/>
            <w:gridCol w:w="2085"/>
            <w:gridCol w:w="297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6">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Prompt Type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7">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Count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Mean Length</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Example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color w:val="1a1a14"/>
                <w:sz w:val="20"/>
                <w:szCs w:val="20"/>
                <w:rtl w:val="0"/>
              </w:rPr>
              <w:t xml:space="preserve">Factual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B">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C">
            <w:pPr>
              <w:jc w:val="center"/>
              <w:rPr/>
            </w:pPr>
            <w:r w:rsidDel="00000000" w:rsidR="00000000" w:rsidRPr="00000000">
              <w:rPr>
                <w:rFonts w:ascii="Times New Roman" w:cs="Times New Roman" w:eastAsia="Times New Roman" w:hAnsi="Times New Roman"/>
                <w:color w:val="1a1a14"/>
                <w:sz w:val="20"/>
                <w:szCs w:val="20"/>
                <w:rtl w:val="0"/>
              </w:rPr>
              <w:t xml:space="preserve">14.2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color w:val="1a1a14"/>
                <w:sz w:val="20"/>
                <w:szCs w:val="20"/>
                <w:rtl w:val="0"/>
              </w:rPr>
              <w:t xml:space="preserve">The capital of Japan is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color w:val="1a1a14"/>
                <w:sz w:val="20"/>
                <w:szCs w:val="20"/>
                <w:rtl w:val="0"/>
              </w:rPr>
              <w:t xml:space="preserve">Creative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color w:val="1a1a14"/>
                <w:sz w:val="20"/>
                <w:szCs w:val="20"/>
                <w:rtl w:val="0"/>
              </w:rPr>
              <w:t xml:space="preserve">15.8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1">
            <w:pPr>
              <w:jc w:val="center"/>
              <w:rPr/>
            </w:pPr>
            <w:r w:rsidDel="00000000" w:rsidR="00000000" w:rsidRPr="00000000">
              <w:rPr>
                <w:rFonts w:ascii="Times New Roman" w:cs="Times New Roman" w:eastAsia="Times New Roman" w:hAnsi="Times New Roman"/>
                <w:color w:val="1a1a14"/>
                <w:sz w:val="20"/>
                <w:szCs w:val="20"/>
                <w:rtl w:val="0"/>
              </w:rPr>
              <w:t xml:space="preserve">In a world where dreams come alive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2">
            <w:pPr>
              <w:jc w:val="center"/>
              <w:rPr/>
            </w:pPr>
            <w:r w:rsidDel="00000000" w:rsidR="00000000" w:rsidRPr="00000000">
              <w:rPr>
                <w:rFonts w:ascii="Times New Roman" w:cs="Times New Roman" w:eastAsia="Times New Roman" w:hAnsi="Times New Roman"/>
                <w:color w:val="1a1a14"/>
                <w:sz w:val="20"/>
                <w:szCs w:val="20"/>
                <w:rtl w:val="0"/>
              </w:rPr>
              <w:t xml:space="preserve">Hybrid</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3">
            <w:pPr>
              <w:jc w:val="center"/>
              <w:rPr/>
            </w:pPr>
            <w:r w:rsidDel="00000000" w:rsidR="00000000" w:rsidRPr="00000000">
              <w:rPr>
                <w:rFonts w:ascii="Times New Roman" w:cs="Times New Roman" w:eastAsia="Times New Roman" w:hAnsi="Times New Roman"/>
                <w:color w:val="1a1a14"/>
                <w:sz w:val="20"/>
                <w:szCs w:val="20"/>
                <w:rtl w:val="0"/>
              </w:rPr>
              <w:t xml:space="preserve">50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4">
            <w:pPr>
              <w:jc w:val="center"/>
              <w:rPr/>
            </w:pPr>
            <w:r w:rsidDel="00000000" w:rsidR="00000000" w:rsidRPr="00000000">
              <w:rPr>
                <w:rFonts w:ascii="Times New Roman" w:cs="Times New Roman" w:eastAsia="Times New Roman" w:hAnsi="Times New Roman"/>
                <w:color w:val="1a1a14"/>
                <w:sz w:val="20"/>
                <w:szCs w:val="20"/>
                <w:rtl w:val="0"/>
              </w:rPr>
              <w:t xml:space="preserve">12.5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B5">
            <w:pPr>
              <w:jc w:val="center"/>
              <w:rPr/>
            </w:pPr>
            <w:r w:rsidDel="00000000" w:rsidR="00000000" w:rsidRPr="00000000">
              <w:rPr>
                <w:rFonts w:ascii="Times New Roman" w:cs="Times New Roman" w:eastAsia="Times New Roman" w:hAnsi="Times New Roman"/>
                <w:color w:val="1a1a14"/>
                <w:sz w:val="20"/>
                <w:szCs w:val="20"/>
                <w:rtl w:val="0"/>
              </w:rPr>
              <w:t xml:space="preserve">The scientific name for this phenomenon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6">
            <w:pPr>
              <w:jc w:val="center"/>
              <w:rPr/>
            </w:pPr>
            <w:r w:rsidDel="00000000" w:rsidR="00000000" w:rsidRPr="00000000">
              <w:rPr>
                <w:rFonts w:ascii="Times New Roman" w:cs="Times New Roman" w:eastAsia="Times New Roman" w:hAnsi="Times New Roman"/>
                <w:color w:val="1a1a14"/>
                <w:sz w:val="20"/>
                <w:szCs w:val="20"/>
                <w:rtl w:val="0"/>
              </w:rPr>
              <w:t xml:space="preserve">Random Baseline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7">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8">
            <w:pPr>
              <w:jc w:val="center"/>
              <w:rPr/>
            </w:pPr>
            <w:r w:rsidDel="00000000" w:rsidR="00000000" w:rsidRPr="00000000">
              <w:rPr>
                <w:rFonts w:ascii="Times New Roman" w:cs="Times New Roman" w:eastAsia="Times New Roman" w:hAnsi="Times New Roman"/>
                <w:color w:val="1a1a14"/>
                <w:sz w:val="20"/>
                <w:szCs w:val="20"/>
                <w:rtl w:val="0"/>
              </w:rPr>
              <w:t xml:space="preserve">15.0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color w:val="1a1a14"/>
                <w:sz w:val="20"/>
                <w:szCs w:val="20"/>
                <w:rtl w:val="0"/>
              </w:rPr>
              <w:t xml:space="preserve">Gibberish token sequences</w:t>
            </w:r>
            <w:r w:rsidDel="00000000" w:rsidR="00000000" w:rsidRPr="00000000">
              <w:rPr>
                <w:rtl w:val="0"/>
              </w:rPr>
            </w:r>
          </w:p>
        </w:tc>
      </w:tr>
    </w:tbl>
    <w:p w:rsidR="00000000" w:rsidDel="00000000" w:rsidP="00000000" w:rsidRDefault="00000000" w:rsidRPr="00000000" w14:paraId="000000BA">
      <w:pPr>
        <w:spacing w:after="200" w:lineRule="auto"/>
        <w:rPr/>
      </w:pPr>
      <w:r w:rsidDel="00000000" w:rsidR="00000000" w:rsidRPr="00000000">
        <w:rPr>
          <w:rtl w:val="0"/>
        </w:rPr>
      </w:r>
    </w:p>
    <w:p w:rsidR="00000000" w:rsidDel="00000000" w:rsidP="00000000" w:rsidRDefault="00000000" w:rsidRPr="00000000" w14:paraId="000000BB">
      <w:pPr>
        <w:pStyle w:val="Heading2"/>
        <w:pBdr>
          <w:left w:color="c9a84c" w:space="10" w:sz="10" w:val="single"/>
        </w:pBdr>
        <w:spacing w:after="180" w:before="360" w:line="360" w:lineRule="auto"/>
        <w:ind w:left="200" w:firstLine="0"/>
        <w:jc w:val="left"/>
        <w:rPr/>
      </w:pPr>
      <w:bookmarkStart w:colFirst="0" w:colLast="0" w:name="_fo66q2waojwn" w:id="16"/>
      <w:bookmarkEnd w:id="16"/>
      <w:r w:rsidDel="00000000" w:rsidR="00000000" w:rsidRPr="00000000">
        <w:rPr>
          <w:rFonts w:ascii="Times New Roman" w:cs="Times New Roman" w:eastAsia="Times New Roman" w:hAnsi="Times New Roman"/>
          <w:b w:val="1"/>
          <w:bCs w:val="1"/>
          <w:color w:val="c9a84c"/>
          <w:sz w:val="30"/>
          <w:szCs w:val="30"/>
          <w:rtl w:val="0"/>
        </w:rPr>
        <w:t xml:space="preserve">3.3 Spectral Analysis Pipeline</w:t>
      </w:r>
      <w:r w:rsidDel="00000000" w:rsidR="00000000" w:rsidRPr="00000000">
        <w:rPr>
          <w:rtl w:val="0"/>
        </w:rPr>
      </w:r>
    </w:p>
    <w:p w:rsidR="00000000" w:rsidDel="00000000" w:rsidP="00000000" w:rsidRDefault="00000000" w:rsidRPr="00000000" w14:paraId="000000B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spectral analysis pipeline implements the complete suite of RMT metrics described in Section 2. The pipeline begins with the construction of the covariance matrix C = (1/T) X^T X from the activation matrix X, followed by full eigendecomposition using the divide-and-conquer algorithm for symmetric positive semi-definite matrices. We then compute the following metrics: (1) Eigenvalue density with MP overlay, providing visual confirmation of bulk versus outlier structure; (2) Participation Ratio (PR) as a global measure of spectral concentration; (3) Signal-to-Noise Ratio (SNR) = lambda_1 / (mean of remaining eigenvalues) as a direct measure of signal strength; (4) Spectral entropy S_spec = -sum_i lambda_tilde_i log(lambda_tilde_i) measuring the information-theoretic uncertainty in the spectral distribution; (5) IPR of the top eigenvector quantifying localization; (6) Spacing ratio distribution testing for universal level statistics; (7) Spectral form factor K(t) probing temporal correlations; (8) Tracy-Widom statistic testing for BBP transition significance. All computations are performed using NumPy and SciPy with double-precision arithmetic.</w:t>
      </w:r>
      <w:r w:rsidDel="00000000" w:rsidR="00000000" w:rsidRPr="00000000">
        <w:rPr>
          <w:rtl w:val="0"/>
        </w:rPr>
      </w:r>
    </w:p>
    <w:tbl>
      <w:tblPr>
        <w:tblStyle w:val="Table15"/>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D">
            <w:pPr>
              <w:jc w:val="center"/>
              <w:rPr/>
            </w:pPr>
            <w:r w:rsidDel="00000000" w:rsidR="00000000" w:rsidRPr="00000000">
              <w:rPr/>
              <w:drawing>
                <wp:inline distB="0" distT="0" distL="0" distR="0">
                  <wp:extent cx="3238500" cy="1657350"/>
                  <wp:effectExtent b="0" l="0" r="0" t="0"/>
                  <wp:docPr id="14"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3238500" cy="1657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E">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3-1: Signal-to-Noise Ratio</w:t>
      </w:r>
      <w:r w:rsidDel="00000000" w:rsidR="00000000" w:rsidRPr="00000000">
        <w:rPr>
          <w:rtl w:val="0"/>
        </w:rPr>
      </w:r>
    </w:p>
    <w:tbl>
      <w:tblPr>
        <w:tblStyle w:val="Table16"/>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0BF">
            <w:pPr>
              <w:jc w:val="center"/>
              <w:rPr/>
            </w:pPr>
            <w:r w:rsidDel="00000000" w:rsidR="00000000" w:rsidRPr="00000000">
              <w:rPr/>
              <w:drawing>
                <wp:inline distB="0" distT="0" distL="0" distR="0">
                  <wp:extent cx="3619500" cy="762000"/>
                  <wp:effectExtent b="0" l="0" r="0" t="0"/>
                  <wp:docPr id="18"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3619500" cy="76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0">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3-2: Spectral Entropy</w:t>
      </w:r>
      <w:r w:rsidDel="00000000" w:rsidR="00000000" w:rsidRPr="00000000">
        <w:rPr>
          <w:rtl w:val="0"/>
        </w:rPr>
      </w:r>
    </w:p>
    <w:p w:rsidR="00000000" w:rsidDel="00000000" w:rsidP="00000000" w:rsidRDefault="00000000" w:rsidRPr="00000000" w14:paraId="000000C1">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0C2">
      <w:pPr>
        <w:pStyle w:val="Heading1"/>
        <w:pBdr>
          <w:bottom w:color="c9a84c" w:space="8" w:sz="4" w:val="single"/>
        </w:pBdr>
        <w:spacing w:after="240" w:before="480" w:line="400" w:lineRule="auto"/>
        <w:jc w:val="left"/>
        <w:rPr/>
      </w:pPr>
      <w:bookmarkStart w:colFirst="0" w:colLast="0" w:name="_agb30sn07pml" w:id="17"/>
      <w:bookmarkEnd w:id="17"/>
      <w:r w:rsidDel="00000000" w:rsidR="00000000" w:rsidRPr="00000000">
        <w:rPr>
          <w:rFonts w:ascii="Times New Roman" w:cs="Times New Roman" w:eastAsia="Times New Roman" w:hAnsi="Times New Roman"/>
          <w:b w:val="1"/>
          <w:bCs w:val="1"/>
          <w:color w:val="c9a84c"/>
          <w:sz w:val="36"/>
          <w:szCs w:val="36"/>
          <w:rtl w:val="0"/>
        </w:rPr>
        <w:t xml:space="preserve">4. Core Experimental Results</w:t>
      </w:r>
      <w:r w:rsidDel="00000000" w:rsidR="00000000" w:rsidRPr="00000000">
        <w:rPr>
          <w:rtl w:val="0"/>
        </w:rPr>
      </w:r>
    </w:p>
    <w:p w:rsidR="00000000" w:rsidDel="00000000" w:rsidP="00000000" w:rsidRDefault="00000000" w:rsidRPr="00000000" w14:paraId="000000C3">
      <w:pPr>
        <w:pStyle w:val="Heading2"/>
        <w:pBdr>
          <w:left w:color="c9a84c" w:space="10" w:sz="10" w:val="single"/>
        </w:pBdr>
        <w:spacing w:after="180" w:before="360" w:line="360" w:lineRule="auto"/>
        <w:ind w:left="200" w:firstLine="0"/>
        <w:jc w:val="left"/>
        <w:rPr/>
      </w:pPr>
      <w:bookmarkStart w:colFirst="0" w:colLast="0" w:name="_66nsz9ljbail" w:id="18"/>
      <w:bookmarkEnd w:id="18"/>
      <w:r w:rsidDel="00000000" w:rsidR="00000000" w:rsidRPr="00000000">
        <w:rPr>
          <w:rFonts w:ascii="Times New Roman" w:cs="Times New Roman" w:eastAsia="Times New Roman" w:hAnsi="Times New Roman"/>
          <w:b w:val="1"/>
          <w:bCs w:val="1"/>
          <w:color w:val="c9a84c"/>
          <w:sz w:val="30"/>
          <w:szCs w:val="30"/>
          <w:rtl w:val="0"/>
        </w:rPr>
        <w:t xml:space="preserve">4.1 Eigenvalue Density: Factual vs. Creative</w:t>
      </w:r>
      <w:r w:rsidDel="00000000" w:rsidR="00000000" w:rsidRPr="00000000">
        <w:rPr>
          <w:rtl w:val="0"/>
        </w:rPr>
      </w:r>
    </w:p>
    <w:p w:rsidR="00000000" w:rsidDel="00000000" w:rsidP="00000000" w:rsidRDefault="00000000" w:rsidRPr="00000000" w14:paraId="000000C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most striking result of our analysis is the dramatic difference in eigenvalue density between factual and creative generation modes. Figure 4-1 shows the empirical eigenvalue density histograms for both prompt types, overlaid with the theoretical Marchenko-Pastur density. For factual prompts, the covariance matrix exhibits a clear outlier eigenvalue well above the MP upper bound lambda_+, with a ratio lambda_max/lambda_+ ranging from 3.5 to 12.2 across different layers. The bulk eigenvalues closely follow the MP prediction, confirming that the remaining spectral weight is consistent with random noise. For creative prompts, the entire eigenvalue spectrum falls within the MP support, with lambda_max/lambda_+ consistently below 1.5, indicating that no single direction in the activation space carries significantly more variance than expected from random fluctuations.</w:t>
      </w:r>
      <w:r w:rsidDel="00000000" w:rsidR="00000000" w:rsidRPr="00000000">
        <w:rPr>
          <w:rtl w:val="0"/>
        </w:rPr>
      </w:r>
    </w:p>
    <w:p w:rsidR="00000000" w:rsidDel="00000000" w:rsidP="00000000" w:rsidRDefault="00000000" w:rsidRPr="00000000" w14:paraId="000000C5">
      <w:pPr>
        <w:spacing w:after="100" w:before="200" w:lineRule="auto"/>
        <w:jc w:val="center"/>
        <w:rPr/>
      </w:pPr>
      <w:r w:rsidDel="00000000" w:rsidR="00000000" w:rsidRPr="00000000">
        <w:rPr/>
        <w:drawing>
          <wp:inline distB="0" distT="0" distL="0" distR="0">
            <wp:extent cx="4381500" cy="2828925"/>
            <wp:effectExtent b="0" l="0" r="0" t="0"/>
            <wp:docPr id="16"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4381500"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4-1: Eigenvalue density comparison with Marchenko-Pastur overlay</w:t>
      </w:r>
      <w:r w:rsidDel="00000000" w:rsidR="00000000" w:rsidRPr="00000000">
        <w:rPr>
          <w:rtl w:val="0"/>
        </w:rPr>
      </w:r>
    </w:p>
    <w:p w:rsidR="00000000" w:rsidDel="00000000" w:rsidP="00000000" w:rsidRDefault="00000000" w:rsidRPr="00000000" w14:paraId="000000C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This result provides direct evidence for the BBP phase transition in LLM activations: factual generation corresponds to the super-critical regime (sigma &gt; sigma_c) where a structured signal component pushes the largest eigenvalue above the theoretical bound, while creative generation corresponds to the sub-critical regime where no individual signal component is strong enough to escape the bulk. The sharpness of this transition—with lambda_max/lambda_+ varying by a factor of 3-8 between factual and creative prompts—suggests that the spectral signature is a robust and easily detectable indicator of generation mode.</w:t>
      </w:r>
      <w:r w:rsidDel="00000000" w:rsidR="00000000" w:rsidRPr="00000000">
        <w:rPr>
          <w:rtl w:val="0"/>
        </w:rPr>
      </w:r>
    </w:p>
    <w:p w:rsidR="00000000" w:rsidDel="00000000" w:rsidP="00000000" w:rsidRDefault="00000000" w:rsidRPr="00000000" w14:paraId="000000C8">
      <w:pPr>
        <w:pStyle w:val="Heading2"/>
        <w:pBdr>
          <w:left w:color="c9a84c" w:space="10" w:sz="10" w:val="single"/>
        </w:pBdr>
        <w:spacing w:after="180" w:before="360" w:line="360" w:lineRule="auto"/>
        <w:ind w:left="200" w:firstLine="0"/>
        <w:jc w:val="left"/>
        <w:rPr/>
      </w:pPr>
      <w:bookmarkStart w:colFirst="0" w:colLast="0" w:name="_ars43gk6g55e" w:id="19"/>
      <w:bookmarkEnd w:id="19"/>
      <w:r w:rsidDel="00000000" w:rsidR="00000000" w:rsidRPr="00000000">
        <w:rPr>
          <w:rFonts w:ascii="Times New Roman" w:cs="Times New Roman" w:eastAsia="Times New Roman" w:hAnsi="Times New Roman"/>
          <w:b w:val="1"/>
          <w:bCs w:val="1"/>
          <w:color w:val="c9a84c"/>
          <w:sz w:val="30"/>
          <w:szCs w:val="30"/>
          <w:rtl w:val="0"/>
        </w:rPr>
        <w:t xml:space="preserve">4.2 Scree Plot Analysis</w:t>
      </w:r>
      <w:r w:rsidDel="00000000" w:rsidR="00000000" w:rsidRPr="00000000">
        <w:rPr>
          <w:rtl w:val="0"/>
        </w:rPr>
      </w:r>
    </w:p>
    <w:p w:rsidR="00000000" w:rsidDel="00000000" w:rsidP="00000000" w:rsidRDefault="00000000" w:rsidRPr="00000000" w14:paraId="000000C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scree plot (eigenvalue magnitude vs. index) provides a complementary view of the spectral structure. Figure 4-2 shows the top 50 eigenvalues on a log scale for both factual and creative prompts. The factual curve exhibits a characteristic “elbow” at index 1-3, with the first eigenvalue 2-3 orders of magnitude larger than the second, followed by a gradual exponential decay. This elbow structure is the hallmark of a low-rank signal plus noise model, where the first few eigenvalues correspond to signal directions and the remaining eigenvalues form the noise floor. The creative curve, by contrast, shows a smooth, nearly power-law decay with no discernible elbow, consistent with a more distributed, high-rank representation.</w:t>
      </w:r>
      <w:r w:rsidDel="00000000" w:rsidR="00000000" w:rsidRPr="00000000">
        <w:rPr>
          <w:rtl w:val="0"/>
        </w:rPr>
      </w:r>
    </w:p>
    <w:p w:rsidR="00000000" w:rsidDel="00000000" w:rsidP="00000000" w:rsidRDefault="00000000" w:rsidRPr="00000000" w14:paraId="000000CA">
      <w:pPr>
        <w:spacing w:after="100" w:before="200" w:lineRule="auto"/>
        <w:jc w:val="center"/>
        <w:rPr/>
      </w:pPr>
      <w:r w:rsidDel="00000000" w:rsidR="00000000" w:rsidRPr="00000000">
        <w:rPr/>
        <w:drawing>
          <wp:inline distB="0" distT="0" distL="0" distR="0">
            <wp:extent cx="4381500" cy="2876550"/>
            <wp:effectExtent b="0" l="0" r="0" t="0"/>
            <wp:docPr id="17"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43815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4-2: Scree plot comparison of eigenvalue magnitudes</w:t>
      </w:r>
      <w:r w:rsidDel="00000000" w:rsidR="00000000" w:rsidRPr="00000000">
        <w:rPr>
          <w:rtl w:val="0"/>
        </w:rPr>
      </w:r>
    </w:p>
    <w:p w:rsidR="00000000" w:rsidDel="00000000" w:rsidP="00000000" w:rsidRDefault="00000000" w:rsidRPr="00000000" w14:paraId="000000C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quantitative difference is dramatic: for factual prompts at layer 8, the first eigenvalue accounts for 42.3% of total spectral weight, while for creative prompts the corresponding figure is only 3.7%. This 11-fold difference in spectral concentration directly reflects the degree to which the model's activation space is organized around a single dominant direction (factual) versus distributed across many directions (creative). The scree analysis also reveals that the “effective rank” of the factual activation matrix is approximately 3-5, while the creative activation matrix has an effective rank of 50-100, confirming the PR measurements presented below.</w:t>
      </w:r>
      <w:r w:rsidDel="00000000" w:rsidR="00000000" w:rsidRPr="00000000">
        <w:rPr>
          <w:rtl w:val="0"/>
        </w:rPr>
      </w:r>
    </w:p>
    <w:p w:rsidR="00000000" w:rsidDel="00000000" w:rsidP="00000000" w:rsidRDefault="00000000" w:rsidRPr="00000000" w14:paraId="000000CD">
      <w:pPr>
        <w:pStyle w:val="Heading2"/>
        <w:pBdr>
          <w:left w:color="c9a84c" w:space="10" w:sz="10" w:val="single"/>
        </w:pBdr>
        <w:spacing w:after="180" w:before="360" w:line="360" w:lineRule="auto"/>
        <w:ind w:left="200" w:firstLine="0"/>
        <w:jc w:val="left"/>
        <w:rPr/>
      </w:pPr>
      <w:bookmarkStart w:colFirst="0" w:colLast="0" w:name="_i7wsoq28yzyo" w:id="20"/>
      <w:bookmarkEnd w:id="20"/>
      <w:r w:rsidDel="00000000" w:rsidR="00000000" w:rsidRPr="00000000">
        <w:rPr>
          <w:rFonts w:ascii="Times New Roman" w:cs="Times New Roman" w:eastAsia="Times New Roman" w:hAnsi="Times New Roman"/>
          <w:b w:val="1"/>
          <w:bCs w:val="1"/>
          <w:color w:val="c9a84c"/>
          <w:sz w:val="30"/>
          <w:szCs w:val="30"/>
          <w:rtl w:val="0"/>
        </w:rPr>
        <w:t xml:space="preserve">4.3 Participation Ratio Comparison</w:t>
      </w:r>
      <w:r w:rsidDel="00000000" w:rsidR="00000000" w:rsidRPr="00000000">
        <w:rPr>
          <w:rtl w:val="0"/>
        </w:rPr>
      </w:r>
    </w:p>
    <w:p w:rsidR="00000000" w:rsidDel="00000000" w:rsidP="00000000" w:rsidRDefault="00000000" w:rsidRPr="00000000" w14:paraId="000000C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Participation Ratio provides a single scalar measure of the effective dimensionality of the activation space. Figure 4-3 summarizes the PR values across all 12 GPT-2 layers for both factual and creative prompts. For factual prompts, PR decreases monotonically from layer 1 (PR ≈ 22.5) to layer 12 (PR ≈ 1.8), indicating a progressive concentration of spectral weight into fewer dimensions as information flows through the network. This behavior is consistent with the model learning to extract and amplify task-relevant signals, progressively reducing the dimensionality of the representation. For creative prompts, PR remains relatively high across all layers (PR ≈ 11-22), indicating a consistently distributed representation that preserves high-dimensional variability.</w:t>
      </w:r>
      <w:r w:rsidDel="00000000" w:rsidR="00000000" w:rsidRPr="00000000">
        <w:rPr>
          <w:rtl w:val="0"/>
        </w:rPr>
      </w:r>
    </w:p>
    <w:p w:rsidR="00000000" w:rsidDel="00000000" w:rsidP="00000000" w:rsidRDefault="00000000" w:rsidRPr="00000000" w14:paraId="000000CF">
      <w:pPr>
        <w:keepNext w:val="1"/>
        <w:spacing w:after="100" w:before="200" w:lineRule="auto"/>
        <w:jc w:val="center"/>
        <w:rPr/>
      </w:pPr>
      <w:r w:rsidDel="00000000" w:rsidR="00000000" w:rsidRPr="00000000">
        <w:rPr>
          <w:rFonts w:ascii="Times New Roman" w:cs="Times New Roman" w:eastAsia="Times New Roman" w:hAnsi="Times New Roman"/>
          <w:b w:val="1"/>
          <w:bCs w:val="1"/>
          <w:color w:val="8b7535"/>
          <w:sz w:val="21"/>
          <w:szCs w:val="21"/>
          <w:rtl w:val="0"/>
        </w:rPr>
        <w:t xml:space="preserve">Table 4-1: PR and SNR Across GPT-2 Layers</w:t>
      </w:r>
      <w:r w:rsidDel="00000000" w:rsidR="00000000" w:rsidRPr="00000000">
        <w:rPr>
          <w:rtl w:val="0"/>
        </w:rPr>
      </w:r>
    </w:p>
    <w:tbl>
      <w:tblPr>
        <w:tblStyle w:val="Table17"/>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0"/>
        <w:gridCol w:w="1500"/>
        <w:gridCol w:w="1545"/>
        <w:gridCol w:w="1620"/>
        <w:gridCol w:w="1425"/>
        <w:gridCol w:w="1830"/>
        <w:tblGridChange w:id="0">
          <w:tblGrid>
            <w:gridCol w:w="870"/>
            <w:gridCol w:w="1500"/>
            <w:gridCol w:w="1545"/>
            <w:gridCol w:w="1620"/>
            <w:gridCol w:w="1425"/>
            <w:gridCol w:w="183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Layer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(Factual)</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SNR (Creative)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0D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Ratio PR_C/PR_F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6">
            <w:pPr>
              <w:jc w:val="center"/>
              <w:rPr/>
            </w:pPr>
            <w:r w:rsidDel="00000000" w:rsidR="00000000" w:rsidRPr="00000000">
              <w:rPr>
                <w:rFonts w:ascii="Times New Roman" w:cs="Times New Roman" w:eastAsia="Times New Roman" w:hAnsi="Times New Roman"/>
                <w:color w:val="1a1a14"/>
                <w:sz w:val="20"/>
                <w:szCs w:val="20"/>
                <w:rtl w:val="0"/>
              </w:rPr>
              <w:t xml:space="preserve">L1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7">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8">
            <w:pPr>
              <w:jc w:val="center"/>
              <w:rPr/>
            </w:pPr>
            <w:r w:rsidDel="00000000" w:rsidR="00000000" w:rsidRPr="00000000">
              <w:rPr>
                <w:rFonts w:ascii="Times New Roman" w:cs="Times New Roman" w:eastAsia="Times New Roman" w:hAnsi="Times New Roman"/>
                <w:color w:val="1a1a14"/>
                <w:sz w:val="20"/>
                <w:szCs w:val="20"/>
                <w:rtl w:val="0"/>
              </w:rPr>
              <w:t xml:space="preserve">22.5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9">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A">
            <w:pPr>
              <w:jc w:val="center"/>
              <w:rPr/>
            </w:pPr>
            <w:r w:rsidDel="00000000" w:rsidR="00000000" w:rsidRPr="00000000">
              <w:rPr>
                <w:rFonts w:ascii="Times New Roman" w:cs="Times New Roman" w:eastAsia="Times New Roman" w:hAnsi="Times New Roman"/>
                <w:color w:val="1a1a14"/>
                <w:sz w:val="20"/>
                <w:szCs w:val="20"/>
                <w:rtl w:val="0"/>
              </w:rPr>
              <w:t xml:space="preserve">2.1</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DB">
            <w:pPr>
              <w:jc w:val="center"/>
              <w:rPr/>
            </w:pPr>
            <w:r w:rsidDel="00000000" w:rsidR="00000000" w:rsidRPr="00000000">
              <w:rPr>
                <w:rFonts w:ascii="Times New Roman" w:cs="Times New Roman" w:eastAsia="Times New Roman" w:hAnsi="Times New Roman"/>
                <w:color w:val="1a1a14"/>
                <w:sz w:val="20"/>
                <w:szCs w:val="20"/>
                <w:rtl w:val="0"/>
              </w:rPr>
              <w:t xml:space="preserve">1.00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C">
            <w:pPr>
              <w:jc w:val="center"/>
              <w:rPr/>
            </w:pPr>
            <w:r w:rsidDel="00000000" w:rsidR="00000000" w:rsidRPr="00000000">
              <w:rPr>
                <w:rFonts w:ascii="Times New Roman" w:cs="Times New Roman" w:eastAsia="Times New Roman" w:hAnsi="Times New Roman"/>
                <w:color w:val="1a1a14"/>
                <w:sz w:val="20"/>
                <w:szCs w:val="20"/>
                <w:rtl w:val="0"/>
              </w:rPr>
              <w:t xml:space="preserve">L4</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D">
            <w:pPr>
              <w:jc w:val="center"/>
              <w:rPr/>
            </w:pPr>
            <w:r w:rsidDel="00000000" w:rsidR="00000000" w:rsidRPr="00000000">
              <w:rPr>
                <w:rFonts w:ascii="Times New Roman" w:cs="Times New Roman" w:eastAsia="Times New Roman" w:hAnsi="Times New Roman"/>
                <w:color w:val="1a1a14"/>
                <w:sz w:val="20"/>
                <w:szCs w:val="20"/>
                <w:rtl w:val="0"/>
              </w:rPr>
              <w:t xml:space="preserve">10.5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color w:val="1a1a14"/>
                <w:sz w:val="20"/>
                <w:szCs w:val="20"/>
                <w:rtl w:val="0"/>
              </w:rPr>
              <w:t xml:space="preserve">16.2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color w:val="1a1a14"/>
                <w:sz w:val="20"/>
                <w:szCs w:val="20"/>
                <w:rtl w:val="0"/>
              </w:rPr>
              <w:t xml:space="preserve">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color w:val="1a1a14"/>
                <w:sz w:val="20"/>
                <w:szCs w:val="20"/>
                <w:rtl w:val="0"/>
              </w:rPr>
              <w:t xml:space="preserve">3.8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1a1a14"/>
                <w:sz w:val="20"/>
                <w:szCs w:val="20"/>
                <w:rtl w:val="0"/>
              </w:rPr>
              <w:t xml:space="preserve">1.54</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color w:val="1a1a14"/>
                <w:sz w:val="20"/>
                <w:szCs w:val="20"/>
                <w:rtl w:val="0"/>
              </w:rPr>
              <w:t xml:space="preserve">L6</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1a1a14"/>
                <w:sz w:val="20"/>
                <w:szCs w:val="20"/>
                <w:rtl w:val="0"/>
              </w:rPr>
              <w:t xml:space="preserve">4.5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1a1a14"/>
                <w:sz w:val="20"/>
                <w:szCs w:val="20"/>
                <w:rtl w:val="0"/>
              </w:rPr>
              <w:t xml:space="preserve">13.5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color w:val="1a1a14"/>
                <w:sz w:val="20"/>
                <w:szCs w:val="20"/>
                <w:rtl w:val="0"/>
              </w:rPr>
              <w:t xml:space="preserve">18.5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1a1a14"/>
                <w:sz w:val="20"/>
                <w:szCs w:val="20"/>
                <w:rtl w:val="0"/>
              </w:rPr>
              <w:t xml:space="preserve">5.2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1a1a14"/>
                <w:sz w:val="20"/>
                <w:szCs w:val="20"/>
                <w:rtl w:val="0"/>
              </w:rPr>
              <w:t xml:space="preserve">3.00</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color w:val="1a1a14"/>
                <w:sz w:val="20"/>
                <w:szCs w:val="20"/>
                <w:rtl w:val="0"/>
              </w:rPr>
              <w:t xml:space="preserve">L8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1a1a14"/>
                <w:sz w:val="20"/>
                <w:szCs w:val="20"/>
                <w:rtl w:val="0"/>
              </w:rPr>
              <w:t xml:space="preserve">2.8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color w:val="1a1a14"/>
                <w:sz w:val="20"/>
                <w:szCs w:val="20"/>
                <w:rtl w:val="0"/>
              </w:rPr>
              <w:t xml:space="preserve">12.2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color w:val="1a1a14"/>
                <w:sz w:val="20"/>
                <w:szCs w:val="20"/>
                <w:rtl w:val="0"/>
              </w:rPr>
              <w:t xml:space="preserve">25.5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1a1a14"/>
                <w:sz w:val="20"/>
                <w:szCs w:val="20"/>
                <w:rtl w:val="0"/>
              </w:rPr>
              <w:t xml:space="preserve">6.2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color w:val="1a1a14"/>
                <w:sz w:val="20"/>
                <w:szCs w:val="20"/>
                <w:rtl w:val="0"/>
              </w:rPr>
              <w:t xml:space="preserve">4.36</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color w:val="1a1a14"/>
                <w:sz w:val="20"/>
                <w:szCs w:val="20"/>
                <w:rtl w:val="0"/>
              </w:rPr>
              <w:t xml:space="preserve">L10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EF">
            <w:pPr>
              <w:jc w:val="center"/>
              <w:rPr/>
            </w:pPr>
            <w:r w:rsidDel="00000000" w:rsidR="00000000" w:rsidRPr="00000000">
              <w:rPr>
                <w:rFonts w:ascii="Times New Roman" w:cs="Times New Roman" w:eastAsia="Times New Roman" w:hAnsi="Times New Roman"/>
                <w:color w:val="1a1a14"/>
                <w:sz w:val="20"/>
                <w:szCs w:val="20"/>
                <w:rtl w:val="0"/>
              </w:rPr>
              <w:t xml:space="preserve">2.2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color w:val="1a1a14"/>
                <w:sz w:val="20"/>
                <w:szCs w:val="20"/>
                <w:rtl w:val="0"/>
              </w:rPr>
              <w:t xml:space="preserve">11.5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1">
            <w:pPr>
              <w:jc w:val="center"/>
              <w:rPr/>
            </w:pPr>
            <w:r w:rsidDel="00000000" w:rsidR="00000000" w:rsidRPr="00000000">
              <w:rPr>
                <w:rFonts w:ascii="Times New Roman" w:cs="Times New Roman" w:eastAsia="Times New Roman" w:hAnsi="Times New Roman"/>
                <w:color w:val="1a1a14"/>
                <w:sz w:val="20"/>
                <w:szCs w:val="20"/>
                <w:rtl w:val="0"/>
              </w:rPr>
              <w:t xml:space="preserve">30.2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2">
            <w:pPr>
              <w:jc w:val="center"/>
              <w:rPr/>
            </w:pPr>
            <w:r w:rsidDel="00000000" w:rsidR="00000000" w:rsidRPr="00000000">
              <w:rPr>
                <w:rFonts w:ascii="Times New Roman" w:cs="Times New Roman" w:eastAsia="Times New Roman" w:hAnsi="Times New Roman"/>
                <w:color w:val="1a1a14"/>
                <w:sz w:val="20"/>
                <w:szCs w:val="20"/>
                <w:rtl w:val="0"/>
              </w:rPr>
              <w:t xml:space="preserve">6.8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0F3">
            <w:pPr>
              <w:jc w:val="center"/>
              <w:rPr/>
            </w:pPr>
            <w:r w:rsidDel="00000000" w:rsidR="00000000" w:rsidRPr="00000000">
              <w:rPr>
                <w:rFonts w:ascii="Times New Roman" w:cs="Times New Roman" w:eastAsia="Times New Roman" w:hAnsi="Times New Roman"/>
                <w:color w:val="1a1a14"/>
                <w:sz w:val="20"/>
                <w:szCs w:val="20"/>
                <w:rtl w:val="0"/>
              </w:rPr>
              <w:t xml:space="preserve">5.23</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4">
            <w:pPr>
              <w:jc w:val="center"/>
              <w:rPr/>
            </w:pPr>
            <w:r w:rsidDel="00000000" w:rsidR="00000000" w:rsidRPr="00000000">
              <w:rPr>
                <w:rFonts w:ascii="Times New Roman" w:cs="Times New Roman" w:eastAsia="Times New Roman" w:hAnsi="Times New Roman"/>
                <w:color w:val="1a1a14"/>
                <w:sz w:val="20"/>
                <w:szCs w:val="20"/>
                <w:rtl w:val="0"/>
              </w:rPr>
              <w:t xml:space="preserve">L12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5">
            <w:pPr>
              <w:jc w:val="center"/>
              <w:rPr/>
            </w:pPr>
            <w:r w:rsidDel="00000000" w:rsidR="00000000" w:rsidRPr="00000000">
              <w:rPr>
                <w:rFonts w:ascii="Times New Roman" w:cs="Times New Roman" w:eastAsia="Times New Roman" w:hAnsi="Times New Roman"/>
                <w:color w:val="1a1a14"/>
                <w:sz w:val="20"/>
                <w:szCs w:val="20"/>
                <w:rtl w:val="0"/>
              </w:rPr>
              <w:t xml:space="preserve">1.8</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color w:val="1a1a14"/>
                <w:sz w:val="20"/>
                <w:szCs w:val="20"/>
                <w:rtl w:val="0"/>
              </w:rPr>
              <w:t xml:space="preserve">11.0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7">
            <w:pPr>
              <w:jc w:val="center"/>
              <w:rPr/>
            </w:pPr>
            <w:r w:rsidDel="00000000" w:rsidR="00000000" w:rsidRPr="00000000">
              <w:rPr>
                <w:rFonts w:ascii="Times New Roman" w:cs="Times New Roman" w:eastAsia="Times New Roman" w:hAnsi="Times New Roman"/>
                <w:color w:val="1a1a14"/>
                <w:sz w:val="20"/>
                <w:szCs w:val="20"/>
                <w:rtl w:val="0"/>
              </w:rPr>
              <w:t xml:space="preserve">33.5</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8">
            <w:pPr>
              <w:jc w:val="center"/>
              <w:rPr/>
            </w:pPr>
            <w:r w:rsidDel="00000000" w:rsidR="00000000" w:rsidRPr="00000000">
              <w:rPr>
                <w:rFonts w:ascii="Times New Roman" w:cs="Times New Roman" w:eastAsia="Times New Roman" w:hAnsi="Times New Roman"/>
                <w:color w:val="1a1a14"/>
                <w:sz w:val="20"/>
                <w:szCs w:val="20"/>
                <w:rtl w:val="0"/>
              </w:rPr>
              <w:t xml:space="preserve">7.2</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0F9">
            <w:pPr>
              <w:jc w:val="center"/>
              <w:rPr/>
            </w:pPr>
            <w:r w:rsidDel="00000000" w:rsidR="00000000" w:rsidRPr="00000000">
              <w:rPr>
                <w:rFonts w:ascii="Times New Roman" w:cs="Times New Roman" w:eastAsia="Times New Roman" w:hAnsi="Times New Roman"/>
                <w:color w:val="1a1a14"/>
                <w:sz w:val="20"/>
                <w:szCs w:val="20"/>
                <w:rtl w:val="0"/>
              </w:rPr>
              <w:t xml:space="preserve">6.11</w:t>
            </w:r>
            <w:r w:rsidDel="00000000" w:rsidR="00000000" w:rsidRPr="00000000">
              <w:rPr>
                <w:rtl w:val="0"/>
              </w:rPr>
            </w:r>
          </w:p>
        </w:tc>
      </w:tr>
    </w:tbl>
    <w:p w:rsidR="00000000" w:rsidDel="00000000" w:rsidP="00000000" w:rsidRDefault="00000000" w:rsidRPr="00000000" w14:paraId="000000FA">
      <w:pPr>
        <w:spacing w:after="200" w:lineRule="auto"/>
        <w:rPr/>
      </w:pPr>
      <w:r w:rsidDel="00000000" w:rsidR="00000000" w:rsidRPr="00000000">
        <w:rPr>
          <w:rtl w:val="0"/>
        </w:rPr>
      </w:r>
    </w:p>
    <w:p w:rsidR="00000000" w:rsidDel="00000000" w:rsidP="00000000" w:rsidRDefault="00000000" w:rsidRPr="00000000" w14:paraId="000000FB">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8b7535"/>
          <w:sz w:val="22"/>
          <w:szCs w:val="22"/>
          <w:rtl w:val="0"/>
        </w:rPr>
        <w:t xml:space="preserve">Key Finding: </w:t>
      </w:r>
      <w:r w:rsidDel="00000000" w:rsidR="00000000" w:rsidRPr="00000000">
        <w:rPr>
          <w:rFonts w:ascii="Times New Roman" w:cs="Times New Roman" w:eastAsia="Times New Roman" w:hAnsi="Times New Roman"/>
          <w:color w:val="1a1a14"/>
          <w:sz w:val="22"/>
          <w:szCs w:val="22"/>
          <w:rtl w:val="0"/>
        </w:rPr>
        <w:t xml:space="preserve">The PR ratio between creative and factual modes increases from 1.0 at layer 1 to 6.1 at layer 12, revealing that the spectral signature of generation mode becomes progressively stronger in deeper layers. This suggests that the model's internal representations become increasingly mode-specific as they propagate through the network.</w:t>
      </w:r>
      <w:r w:rsidDel="00000000" w:rsidR="00000000" w:rsidRPr="00000000">
        <w:rPr>
          <w:rtl w:val="0"/>
        </w:rPr>
      </w:r>
    </w:p>
    <w:p w:rsidR="00000000" w:rsidDel="00000000" w:rsidP="00000000" w:rsidRDefault="00000000" w:rsidRPr="00000000" w14:paraId="000000FC">
      <w:pPr>
        <w:spacing w:after="100" w:lineRule="auto"/>
        <w:rPr/>
      </w:pPr>
      <w:r w:rsidDel="00000000" w:rsidR="00000000" w:rsidRPr="00000000">
        <w:rPr>
          <w:rtl w:val="0"/>
        </w:rPr>
      </w:r>
    </w:p>
    <w:p w:rsidR="00000000" w:rsidDel="00000000" w:rsidP="00000000" w:rsidRDefault="00000000" w:rsidRPr="00000000" w14:paraId="000000FD">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0FE">
      <w:pPr>
        <w:pStyle w:val="Heading1"/>
        <w:pBdr>
          <w:bottom w:color="c9a84c" w:space="8" w:sz="4" w:val="single"/>
        </w:pBdr>
        <w:spacing w:after="240" w:before="480" w:line="400" w:lineRule="auto"/>
        <w:jc w:val="left"/>
        <w:rPr/>
      </w:pPr>
      <w:bookmarkStart w:colFirst="0" w:colLast="0" w:name="_vswiobon8f0z" w:id="21"/>
      <w:bookmarkEnd w:id="21"/>
      <w:r w:rsidDel="00000000" w:rsidR="00000000" w:rsidRPr="00000000">
        <w:rPr>
          <w:rFonts w:ascii="Times New Roman" w:cs="Times New Roman" w:eastAsia="Times New Roman" w:hAnsi="Times New Roman"/>
          <w:b w:val="1"/>
          <w:bCs w:val="1"/>
          <w:color w:val="c9a84c"/>
          <w:sz w:val="36"/>
          <w:szCs w:val="36"/>
          <w:rtl w:val="0"/>
        </w:rPr>
        <w:t xml:space="preserve">5. Advanced Experiments</w:t>
      </w:r>
      <w:r w:rsidDel="00000000" w:rsidR="00000000" w:rsidRPr="00000000">
        <w:rPr>
          <w:rtl w:val="0"/>
        </w:rPr>
      </w:r>
    </w:p>
    <w:p w:rsidR="00000000" w:rsidDel="00000000" w:rsidP="00000000" w:rsidRDefault="00000000" w:rsidRPr="00000000" w14:paraId="000000FF">
      <w:pPr>
        <w:pStyle w:val="Heading2"/>
        <w:pBdr>
          <w:left w:color="c9a84c" w:space="10" w:sz="10" w:val="single"/>
        </w:pBdr>
        <w:spacing w:after="180" w:before="360" w:line="360" w:lineRule="auto"/>
        <w:ind w:left="200" w:firstLine="0"/>
        <w:jc w:val="left"/>
        <w:rPr/>
      </w:pPr>
      <w:bookmarkStart w:colFirst="0" w:colLast="0" w:name="_1qe5dq929i5x" w:id="22"/>
      <w:bookmarkEnd w:id="22"/>
      <w:r w:rsidDel="00000000" w:rsidR="00000000" w:rsidRPr="00000000">
        <w:rPr>
          <w:rFonts w:ascii="Times New Roman" w:cs="Times New Roman" w:eastAsia="Times New Roman" w:hAnsi="Times New Roman"/>
          <w:b w:val="1"/>
          <w:bCs w:val="1"/>
          <w:color w:val="c9a84c"/>
          <w:sz w:val="30"/>
          <w:szCs w:val="30"/>
          <w:rtl w:val="0"/>
        </w:rPr>
        <w:t xml:space="preserve">5.1 Temperature Sweep: Spectral Phase Transition</w:t>
      </w:r>
      <w:r w:rsidDel="00000000" w:rsidR="00000000" w:rsidRPr="00000000">
        <w:rPr>
          <w:rtl w:val="0"/>
        </w:rPr>
      </w:r>
    </w:p>
    <w:p w:rsidR="00000000" w:rsidDel="00000000" w:rsidP="00000000" w:rsidRDefault="00000000" w:rsidRPr="00000000" w14:paraId="0000010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Temperature is a fundamental parameter controlling the randomness of LLM generation, with low temperature (T → 0) producing deterministic, peaked output distributions and high temperature (T → ∞) producing uniform, random output. If our spectral framework correctly captures the transition between factual and creative generation, then increasing temperature should produce a continuous spectral phase transition analogous to the thermodynamic transition from a bound state to a gas. Figure 5-1 presents the results of our temperature sweep experiment, showing how four key spectral metrics evolve as temperature varies from 0.1 to 2.0.</w:t>
      </w:r>
      <w:r w:rsidDel="00000000" w:rsidR="00000000" w:rsidRPr="00000000">
        <w:rPr>
          <w:rtl w:val="0"/>
        </w:rPr>
      </w:r>
    </w:p>
    <w:p w:rsidR="00000000" w:rsidDel="00000000" w:rsidP="00000000" w:rsidRDefault="00000000" w:rsidRPr="00000000" w14:paraId="00000101">
      <w:pPr>
        <w:spacing w:after="100" w:before="200" w:lineRule="auto"/>
        <w:jc w:val="center"/>
        <w:rPr/>
      </w:pPr>
      <w:r w:rsidDel="00000000" w:rsidR="00000000" w:rsidRPr="00000000">
        <w:rPr/>
        <w:drawing>
          <wp:inline distB="0" distT="0" distL="0" distR="0">
            <wp:extent cx="4572000" cy="3781425"/>
            <wp:effectExtent b="0" l="0" r="0" t="0"/>
            <wp:docPr id="19"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4572000" cy="37814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5-1: Temperature sweep showing spectral phase transition</w:t>
      </w:r>
      <w:r w:rsidDel="00000000" w:rsidR="00000000" w:rsidRPr="00000000">
        <w:rPr>
          <w:rtl w:val="0"/>
        </w:rPr>
      </w:r>
    </w:p>
    <w:p w:rsidR="00000000" w:rsidDel="00000000" w:rsidP="00000000" w:rsidRDefault="00000000" w:rsidRPr="00000000" w14:paraId="0000010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results confirm our prediction with remarkable precision. The Participation Ratio increases monotonically with temperature, from PR ≈ 1.8 at T = 0.1 (highly concentrated, factual regime) to PR ≈ 18.5 at T = 2.0 (highly distributed, creative regime). Simultaneously, the SNR decreases from 28.5 dB to 2.1 dB, the spectral entropy increases from 0.8 to 6.8, and the lambda_max/lambda_+ ratio decreases from 8.5 to 0.7. The transition occurs most sharply around T = 1.0 (the default temperature for most LLM applications), suggesting that this parameter value sits at the critical point between factual and creative spectral phases. The smooth, continuous nature of the transition is consistent with a second-order (continuous) phase transition rather than a first-order (discontinuous) one.</w:t>
      </w:r>
      <w:r w:rsidDel="00000000" w:rsidR="00000000" w:rsidRPr="00000000">
        <w:rPr>
          <w:rtl w:val="0"/>
        </w:rPr>
      </w:r>
    </w:p>
    <w:p w:rsidR="00000000" w:rsidDel="00000000" w:rsidP="00000000" w:rsidRDefault="00000000" w:rsidRPr="00000000" w14:paraId="00000104">
      <w:pPr>
        <w:pStyle w:val="Heading2"/>
        <w:pBdr>
          <w:left w:color="c9a84c" w:space="10" w:sz="10" w:val="single"/>
        </w:pBdr>
        <w:spacing w:after="180" w:before="360" w:line="360" w:lineRule="auto"/>
        <w:ind w:left="200" w:firstLine="0"/>
        <w:jc w:val="left"/>
        <w:rPr/>
      </w:pPr>
      <w:bookmarkStart w:colFirst="0" w:colLast="0" w:name="_8havtu77qroy" w:id="23"/>
      <w:bookmarkEnd w:id="23"/>
      <w:r w:rsidDel="00000000" w:rsidR="00000000" w:rsidRPr="00000000">
        <w:rPr>
          <w:rFonts w:ascii="Times New Roman" w:cs="Times New Roman" w:eastAsia="Times New Roman" w:hAnsi="Times New Roman"/>
          <w:b w:val="1"/>
          <w:bCs w:val="1"/>
          <w:color w:val="c9a84c"/>
          <w:sz w:val="30"/>
          <w:szCs w:val="30"/>
          <w:rtl w:val="0"/>
        </w:rPr>
        <w:t xml:space="preserve">5.2 Cross-Layer Spectral Transfer</w:t>
      </w:r>
      <w:r w:rsidDel="00000000" w:rsidR="00000000" w:rsidRPr="00000000">
        <w:rPr>
          <w:rtl w:val="0"/>
        </w:rPr>
      </w:r>
    </w:p>
    <w:p w:rsidR="00000000" w:rsidDel="00000000" w:rsidP="00000000" w:rsidRDefault="00000000" w:rsidRPr="00000000" w14:paraId="0000010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analysis of spectral metrics across all 12 GPT-2 layers reveals a rich structure that can be understood through the lens of renormalization group (RG) theory. Figure 5-2 shows the evolution of PR and SNR across layers for both factual and creative prompts. For factual prompts, both metrics show a dramatic change in the intermediate layers (L5-L8), which we identify as the “critical region” of the network. In this region, PR drops rapidly from ~10 to ~3 and SNR increases sharply from ~8 dB to ~22 dB, indicating a rapid concentration of spectral weight as the model transitions from a high-dimensional, noisy representation in the early layers to a low-dimensional, signal-dominated representation in the later layers.</w:t>
      </w:r>
      <w:r w:rsidDel="00000000" w:rsidR="00000000" w:rsidRPr="00000000">
        <w:rPr>
          <w:rtl w:val="0"/>
        </w:rPr>
      </w:r>
    </w:p>
    <w:p w:rsidR="00000000" w:rsidDel="00000000" w:rsidP="00000000" w:rsidRDefault="00000000" w:rsidRPr="00000000" w14:paraId="00000106">
      <w:pPr>
        <w:spacing w:after="100" w:before="200" w:lineRule="auto"/>
        <w:jc w:val="center"/>
        <w:rPr/>
      </w:pPr>
      <w:r w:rsidDel="00000000" w:rsidR="00000000" w:rsidRPr="00000000">
        <w:rPr/>
        <w:drawing>
          <wp:inline distB="0" distT="0" distL="0" distR="0">
            <wp:extent cx="4572000" cy="2019300"/>
            <wp:effectExtent b="0" l="0" r="0" t="0"/>
            <wp:docPr id="20"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45720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5-2: Spectral evolution across GPT-2 layers</w:t>
      </w:r>
      <w:r w:rsidDel="00000000" w:rsidR="00000000" w:rsidRPr="00000000">
        <w:rPr>
          <w:rtl w:val="0"/>
        </w:rPr>
      </w:r>
    </w:p>
    <w:p w:rsidR="00000000" w:rsidDel="00000000" w:rsidP="00000000" w:rsidRDefault="00000000" w:rsidRPr="00000000" w14:paraId="00000108">
      <w:pPr>
        <w:pStyle w:val="Heading2"/>
        <w:pBdr>
          <w:left w:color="c9a84c" w:space="10" w:sz="10" w:val="single"/>
        </w:pBdr>
        <w:spacing w:after="180" w:before="360" w:line="360" w:lineRule="auto"/>
        <w:ind w:left="200" w:firstLine="0"/>
        <w:jc w:val="left"/>
        <w:rPr/>
      </w:pPr>
      <w:bookmarkStart w:colFirst="0" w:colLast="0" w:name="_w3ei5ft83jrl" w:id="24"/>
      <w:bookmarkEnd w:id="24"/>
      <w:r w:rsidDel="00000000" w:rsidR="00000000" w:rsidRPr="00000000">
        <w:rPr>
          <w:rFonts w:ascii="Times New Roman" w:cs="Times New Roman" w:eastAsia="Times New Roman" w:hAnsi="Times New Roman"/>
          <w:b w:val="1"/>
          <w:bCs w:val="1"/>
          <w:color w:val="c9a84c"/>
          <w:sz w:val="30"/>
          <w:szCs w:val="30"/>
          <w:rtl w:val="0"/>
        </w:rPr>
        <w:t xml:space="preserve">5.3 Inverse Participation Ratio Across Layers</w:t>
      </w:r>
      <w:r w:rsidDel="00000000" w:rsidR="00000000" w:rsidRPr="00000000">
        <w:rPr>
          <w:rtl w:val="0"/>
        </w:rPr>
      </w:r>
    </w:p>
    <w:p w:rsidR="00000000" w:rsidDel="00000000" w:rsidP="00000000" w:rsidRDefault="00000000" w:rsidRPr="00000000" w14:paraId="0000010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Inverse Participation Ratio of the top eigenvector provides a complementary perspective on the spectral evolution, quantifying the degree to which the dominant spectral direction is localized (concentrated on a few components) versus delocalized (spread across many components). Figure 5-3 shows the IPR across layers for both generation modes. For factual prompts, IPR increases dramatically from ~0.003 at layer 1 to ~0.21 at layer 12, indicating a 70-fold increase in eigenvector localization. This means that the factual signal direction becomes progressively more concentrated on specific hidden dimensions as information flows through the network, consistent with the model developing specialized “factual retrieval circuits” in its later layers. For creative prompts, IPR remains consistently low (~0.003-0.012), indicating a delocalized top eigenvector that distributes its weight across many dimensions, consistent with the high-dimensional, distributed nature of creative representations.</w:t>
      </w:r>
      <w:r w:rsidDel="00000000" w:rsidR="00000000" w:rsidRPr="00000000">
        <w:rPr>
          <w:rtl w:val="0"/>
        </w:rPr>
      </w:r>
    </w:p>
    <w:p w:rsidR="00000000" w:rsidDel="00000000" w:rsidP="00000000" w:rsidRDefault="00000000" w:rsidRPr="00000000" w14:paraId="0000010A">
      <w:pPr>
        <w:spacing w:after="100" w:before="200" w:lineRule="auto"/>
        <w:jc w:val="center"/>
        <w:rPr/>
      </w:pPr>
      <w:r w:rsidDel="00000000" w:rsidR="00000000" w:rsidRPr="00000000">
        <w:rPr/>
        <w:drawing>
          <wp:inline distB="0" distT="0" distL="0" distR="0">
            <wp:extent cx="4381500" cy="2857500"/>
            <wp:effectExtent b="0" l="0" r="0" t="0"/>
            <wp:docPr id="21"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4381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5-3: IPR of top eigenvector across layers</w:t>
      </w:r>
      <w:r w:rsidDel="00000000" w:rsidR="00000000" w:rsidRPr="00000000">
        <w:rPr>
          <w:rtl w:val="0"/>
        </w:rPr>
      </w:r>
    </w:p>
    <w:p w:rsidR="00000000" w:rsidDel="00000000" w:rsidP="00000000" w:rsidRDefault="00000000" w:rsidRPr="00000000" w14:paraId="0000010C">
      <w:pPr>
        <w:pStyle w:val="Heading2"/>
        <w:pBdr>
          <w:left w:color="c9a84c" w:space="10" w:sz="10" w:val="single"/>
        </w:pBdr>
        <w:spacing w:after="180" w:before="360" w:line="360" w:lineRule="auto"/>
        <w:ind w:left="200" w:firstLine="0"/>
        <w:jc w:val="left"/>
        <w:rPr/>
      </w:pPr>
      <w:bookmarkStart w:colFirst="0" w:colLast="0" w:name="_41y50cibn67b" w:id="25"/>
      <w:bookmarkEnd w:id="25"/>
      <w:r w:rsidDel="00000000" w:rsidR="00000000" w:rsidRPr="00000000">
        <w:rPr>
          <w:rFonts w:ascii="Times New Roman" w:cs="Times New Roman" w:eastAsia="Times New Roman" w:hAnsi="Times New Roman"/>
          <w:b w:val="1"/>
          <w:bCs w:val="1"/>
          <w:color w:val="c9a84c"/>
          <w:sz w:val="30"/>
          <w:szCs w:val="30"/>
          <w:rtl w:val="0"/>
        </w:rPr>
        <w:t xml:space="preserve">5.4 Prompt Length Dependence</w:t>
      </w:r>
      <w:r w:rsidDel="00000000" w:rsidR="00000000" w:rsidRPr="00000000">
        <w:rPr>
          <w:rtl w:val="0"/>
        </w:rPr>
      </w:r>
    </w:p>
    <w:p w:rsidR="00000000" w:rsidDel="00000000" w:rsidP="00000000" w:rsidRDefault="00000000" w:rsidRPr="00000000" w14:paraId="0000010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dependence of spectral metrics on prompt length provides a test of the finite-size scaling predictions of RMT. In the asymptotic limit, PR should scale as PR ~ O(T/k) where T is the sequence length and k is the number of significant eigenvalue directions. Figure 5-4 shows the PR as a function of prompt length for both factual and creative prompts. For factual prompts, PR saturates quickly (by T ≈ 40-60) as the dominant signal direction becomes fully resolved, while for creative prompts, PR continues to increase sub-linearly with T, reflecting the distributed nature of the representation. The theoretical prediction PR ~ kT/(k + T) provides an excellent fit to both curves, confirming the finite-size scaling behavior predicted by RMT.</w:t>
      </w:r>
      <w:r w:rsidDel="00000000" w:rsidR="00000000" w:rsidRPr="00000000">
        <w:rPr>
          <w:rtl w:val="0"/>
        </w:rPr>
      </w:r>
    </w:p>
    <w:p w:rsidR="00000000" w:rsidDel="00000000" w:rsidP="00000000" w:rsidRDefault="00000000" w:rsidRPr="00000000" w14:paraId="0000010E">
      <w:pPr>
        <w:spacing w:after="100" w:before="200" w:lineRule="auto"/>
        <w:jc w:val="center"/>
        <w:rPr/>
      </w:pPr>
      <w:r w:rsidDel="00000000" w:rsidR="00000000" w:rsidRPr="00000000">
        <w:rPr/>
        <w:drawing>
          <wp:inline distB="0" distT="0" distL="0" distR="0">
            <wp:extent cx="4381500" cy="2895600"/>
            <wp:effectExtent b="0" l="0" r="0" t="0"/>
            <wp:docPr id="22"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43815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5-4: Prompt length dependence of Participation Ratio</w:t>
      </w:r>
      <w:r w:rsidDel="00000000" w:rsidR="00000000" w:rsidRPr="00000000">
        <w:rPr>
          <w:rtl w:val="0"/>
        </w:rPr>
      </w:r>
    </w:p>
    <w:p w:rsidR="00000000" w:rsidDel="00000000" w:rsidP="00000000" w:rsidRDefault="00000000" w:rsidRPr="00000000" w14:paraId="00000110">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111">
      <w:pPr>
        <w:pStyle w:val="Heading1"/>
        <w:pBdr>
          <w:bottom w:color="c9a84c" w:space="8" w:sz="4" w:val="single"/>
        </w:pBdr>
        <w:spacing w:after="240" w:before="480" w:line="400" w:lineRule="auto"/>
        <w:jc w:val="left"/>
        <w:rPr/>
      </w:pPr>
      <w:bookmarkStart w:colFirst="0" w:colLast="0" w:name="_hff8a4p2qo3e" w:id="26"/>
      <w:bookmarkEnd w:id="26"/>
      <w:r w:rsidDel="00000000" w:rsidR="00000000" w:rsidRPr="00000000">
        <w:rPr>
          <w:rFonts w:ascii="Times New Roman" w:cs="Times New Roman" w:eastAsia="Times New Roman" w:hAnsi="Times New Roman"/>
          <w:b w:val="1"/>
          <w:bCs w:val="1"/>
          <w:color w:val="c9a84c"/>
          <w:sz w:val="36"/>
          <w:szCs w:val="36"/>
          <w:rtl w:val="0"/>
        </w:rPr>
        <w:t xml:space="preserve">6. Theoretical Extensions</w:t>
      </w:r>
      <w:r w:rsidDel="00000000" w:rsidR="00000000" w:rsidRPr="00000000">
        <w:rPr>
          <w:rtl w:val="0"/>
        </w:rPr>
      </w:r>
    </w:p>
    <w:p w:rsidR="00000000" w:rsidDel="00000000" w:rsidP="00000000" w:rsidRDefault="00000000" w:rsidRPr="00000000" w14:paraId="00000112">
      <w:pPr>
        <w:pStyle w:val="Heading2"/>
        <w:pBdr>
          <w:left w:color="c9a84c" w:space="10" w:sz="10" w:val="single"/>
        </w:pBdr>
        <w:spacing w:after="180" w:before="360" w:line="360" w:lineRule="auto"/>
        <w:ind w:left="200" w:firstLine="0"/>
        <w:jc w:val="left"/>
        <w:rPr/>
      </w:pPr>
      <w:bookmarkStart w:colFirst="0" w:colLast="0" w:name="_1uus9tzorbo" w:id="27"/>
      <w:bookmarkEnd w:id="27"/>
      <w:r w:rsidDel="00000000" w:rsidR="00000000" w:rsidRPr="00000000">
        <w:rPr>
          <w:rFonts w:ascii="Times New Roman" w:cs="Times New Roman" w:eastAsia="Times New Roman" w:hAnsi="Times New Roman"/>
          <w:b w:val="1"/>
          <w:bCs w:val="1"/>
          <w:color w:val="c9a84c"/>
          <w:sz w:val="30"/>
          <w:szCs w:val="30"/>
          <w:rtl w:val="0"/>
        </w:rPr>
        <w:t xml:space="preserve">6.1 Free Energy Analogy: F = U - TS_spec</w:t>
      </w:r>
      <w:r w:rsidDel="00000000" w:rsidR="00000000" w:rsidRPr="00000000">
        <w:rPr>
          <w:rtl w:val="0"/>
        </w:rPr>
      </w:r>
    </w:p>
    <w:p w:rsidR="00000000" w:rsidDel="00000000" w:rsidP="00000000" w:rsidRDefault="00000000" w:rsidRPr="00000000" w14:paraId="0000011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observed spectral dichotomy between factual and creative generation admits an elegant thermodynamic interpretation through the concept of spectral free energy. Inspired by the Helmholtz free energy F = U - TS in statistical mechanics, where U is the internal energy, T is the temperature, and S is the entropy, we define the spectral free energy as F = U - T * S_spec, where U = lambda_max plays the role of internal energy (the “cost” of maintaining a dominant spectral direction), S_spec = -sum_i lambda_tilde_i log(lambda_tilde_i) is the spectral entropy measuring the uncertainty in the spectral distribution, and T is an effective temperature parameter that may be identified with the generation temperature.</w:t>
      </w:r>
      <w:r w:rsidDel="00000000" w:rsidR="00000000" w:rsidRPr="00000000">
        <w:rPr>
          <w:rtl w:val="0"/>
        </w:rPr>
      </w:r>
    </w:p>
    <w:tbl>
      <w:tblPr>
        <w:tblStyle w:val="Table18"/>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4">
            <w:pPr>
              <w:jc w:val="center"/>
              <w:rPr/>
            </w:pPr>
            <w:r w:rsidDel="00000000" w:rsidR="00000000" w:rsidRPr="00000000">
              <w:rPr/>
              <w:drawing>
                <wp:inline distB="0" distT="0" distL="0" distR="0">
                  <wp:extent cx="3619500" cy="409575"/>
                  <wp:effectExtent b="0" l="0" r="0" t="0"/>
                  <wp:docPr id="23"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3619500" cy="4095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5">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6-1: Spectral free energy definition</w:t>
      </w:r>
      <w:r w:rsidDel="00000000" w:rsidR="00000000" w:rsidRPr="00000000">
        <w:rPr>
          <w:rtl w:val="0"/>
        </w:rPr>
      </w:r>
    </w:p>
    <w:p w:rsidR="00000000" w:rsidDel="00000000" w:rsidP="00000000" w:rsidRDefault="00000000" w:rsidRPr="00000000" w14:paraId="00000116">
      <w:pPr>
        <w:spacing w:after="100" w:before="200" w:lineRule="auto"/>
        <w:jc w:val="center"/>
        <w:rPr/>
      </w:pPr>
      <w:r w:rsidDel="00000000" w:rsidR="00000000" w:rsidRPr="00000000">
        <w:rPr/>
        <w:drawing>
          <wp:inline distB="0" distT="0" distL="0" distR="0">
            <wp:extent cx="4191000" cy="3200400"/>
            <wp:effectExtent b="0" l="0" r="0" t="0"/>
            <wp:docPr id="24"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41910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6-1: Free energy landscape showing factual and creative phases</w:t>
      </w:r>
      <w:r w:rsidDel="00000000" w:rsidR="00000000" w:rsidRPr="00000000">
        <w:rPr>
          <w:rtl w:val="0"/>
        </w:rPr>
      </w:r>
    </w:p>
    <w:p w:rsidR="00000000" w:rsidDel="00000000" w:rsidP="00000000" w:rsidRDefault="00000000" w:rsidRPr="00000000" w14:paraId="0000011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In the factual phase, lambda_max is large and S_spec is small, resulting in a large negative free energy F &lt;&lt; 0. This corresponds to a “bound state” in which the spectral weight is concentrated in a single deep energy minimum, analogous to a particle bound in a potential well. The model has committed to a specific, well-defined output direction, and the cost of deviating from this direction (as measured by the gap between lambda_max and the bulk) is high. In the creative phase, lambda_max is comparable to the bulk edge and S_spec is large, resulting in F ≈ 0. This corresponds to a “gas state” in which the spectral weight is distributed across many directions, analogous to a free particle exploring a large phase space. The model has not committed to any specific output direction, and the spectral landscape is relatively flat.</w:t>
      </w:r>
      <w:r w:rsidDel="00000000" w:rsidR="00000000" w:rsidRPr="00000000">
        <w:rPr>
          <w:rtl w:val="0"/>
        </w:rPr>
      </w:r>
    </w:p>
    <w:p w:rsidR="00000000" w:rsidDel="00000000" w:rsidP="00000000" w:rsidRDefault="00000000" w:rsidRPr="00000000" w14:paraId="00000119">
      <w:pPr>
        <w:pBdr>
          <w:left w:color="c9a84c" w:space="12" w:sz="14" w:val="single"/>
        </w:pBdr>
        <w:spacing w:after="150" w:before="150" w:lineRule="auto"/>
        <w:ind w:left="300" w:firstLine="0"/>
        <w:rPr/>
      </w:pPr>
      <w:r w:rsidDel="00000000" w:rsidR="00000000" w:rsidRPr="00000000">
        <w:rPr>
          <w:rFonts w:ascii="Times New Roman" w:cs="Times New Roman" w:eastAsia="Times New Roman" w:hAnsi="Times New Roman"/>
          <w:b w:val="1"/>
          <w:bCs w:val="1"/>
          <w:color w:val="8b7535"/>
          <w:sz w:val="22"/>
          <w:szCs w:val="22"/>
          <w:rtl w:val="0"/>
        </w:rPr>
        <w:t xml:space="preserve">Thermodynamic Interpretation: </w:t>
      </w:r>
      <w:r w:rsidDel="00000000" w:rsidR="00000000" w:rsidRPr="00000000">
        <w:rPr>
          <w:rFonts w:ascii="Times New Roman" w:cs="Times New Roman" w:eastAsia="Times New Roman" w:hAnsi="Times New Roman"/>
          <w:color w:val="1a1a14"/>
          <w:sz w:val="22"/>
          <w:szCs w:val="22"/>
          <w:rtl w:val="0"/>
        </w:rPr>
        <w:t xml:space="preserve">Factual generation = Bound State (F &lt; 0, low entropy, high energy). Creative generation = Gas State (F ≈ 0, high entropy, low energy). The BBP transition = Phase transition at F = 0.</w:t>
      </w:r>
      <w:r w:rsidDel="00000000" w:rsidR="00000000" w:rsidRPr="00000000">
        <w:rPr>
          <w:rtl w:val="0"/>
        </w:rPr>
      </w:r>
    </w:p>
    <w:p w:rsidR="00000000" w:rsidDel="00000000" w:rsidP="00000000" w:rsidRDefault="00000000" w:rsidRPr="00000000" w14:paraId="0000011A">
      <w:pPr>
        <w:pStyle w:val="Heading2"/>
        <w:pBdr>
          <w:left w:color="c9a84c" w:space="10" w:sz="10" w:val="single"/>
        </w:pBdr>
        <w:spacing w:after="180" w:before="360" w:line="360" w:lineRule="auto"/>
        <w:ind w:left="200" w:firstLine="0"/>
        <w:jc w:val="left"/>
        <w:rPr/>
      </w:pPr>
      <w:bookmarkStart w:colFirst="0" w:colLast="0" w:name="_acpfoa28qp0" w:id="28"/>
      <w:bookmarkEnd w:id="28"/>
      <w:r w:rsidDel="00000000" w:rsidR="00000000" w:rsidRPr="00000000">
        <w:rPr>
          <w:rFonts w:ascii="Times New Roman" w:cs="Times New Roman" w:eastAsia="Times New Roman" w:hAnsi="Times New Roman"/>
          <w:b w:val="1"/>
          <w:bCs w:val="1"/>
          <w:color w:val="c9a84c"/>
          <w:sz w:val="30"/>
          <w:szCs w:val="30"/>
          <w:rtl w:val="0"/>
        </w:rPr>
        <w:t xml:space="preserve">6.2 Renormalization Group Flow Across Layers</w:t>
      </w:r>
      <w:r w:rsidDel="00000000" w:rsidR="00000000" w:rsidRPr="00000000">
        <w:rPr>
          <w:rtl w:val="0"/>
        </w:rPr>
      </w:r>
    </w:p>
    <w:p w:rsidR="00000000" w:rsidDel="00000000" w:rsidP="00000000" w:rsidRDefault="00000000" w:rsidRPr="00000000" w14:paraId="0000011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layer-wise evolution of spectral metrics in GPT-2 can be understood through the framework of renormalization group (RG) theory, where each transformer layer acts as a renormalization transformation that coarse-grains the representation space. In RG theory, the flow of coupling constants under successive coarse-graining transformations defines trajectories in parameter space that terminate at fixed points. We map this framework to the LLM context by identifying the coupling constants with the spectral metrics (PR, lambda_max/lambda_+) and the RG transformations with the operations of each transformer layer.</w:t>
      </w:r>
      <w:r w:rsidDel="00000000" w:rsidR="00000000" w:rsidRPr="00000000">
        <w:rPr>
          <w:rtl w:val="0"/>
        </w:rPr>
      </w:r>
    </w:p>
    <w:tbl>
      <w:tblPr>
        <w:tblStyle w:val="Table19"/>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1C">
            <w:pPr>
              <w:jc w:val="center"/>
              <w:rPr/>
            </w:pPr>
            <w:r w:rsidDel="00000000" w:rsidR="00000000" w:rsidRPr="00000000">
              <w:rPr/>
              <w:drawing>
                <wp:inline distB="0" distT="0" distL="0" distR="0">
                  <wp:extent cx="3619500" cy="523875"/>
                  <wp:effectExtent b="0" l="0" r="0" t="0"/>
                  <wp:docPr id="25"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3619500" cy="5238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D">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6-2: RG beta function for spectral flow</w:t>
      </w:r>
      <w:r w:rsidDel="00000000" w:rsidR="00000000" w:rsidRPr="00000000">
        <w:rPr>
          <w:rtl w:val="0"/>
        </w:rPr>
      </w:r>
    </w:p>
    <w:p w:rsidR="00000000" w:rsidDel="00000000" w:rsidP="00000000" w:rsidRDefault="00000000" w:rsidRPr="00000000" w14:paraId="0000011E">
      <w:pPr>
        <w:spacing w:after="100" w:before="200" w:lineRule="auto"/>
        <w:jc w:val="center"/>
        <w:rPr/>
      </w:pPr>
      <w:r w:rsidDel="00000000" w:rsidR="00000000" w:rsidRPr="00000000">
        <w:rPr/>
        <w:drawing>
          <wp:inline distB="0" distT="0" distL="0" distR="0">
            <wp:extent cx="4191000" cy="3543300"/>
            <wp:effectExtent b="0" l="0" r="0" t="0"/>
            <wp:docPr id="26"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4191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6-2: RG flow trajectory in the (PR, lambda_max/lambda_+) plane</w:t>
      </w:r>
      <w:r w:rsidDel="00000000" w:rsidR="00000000" w:rsidRPr="00000000">
        <w:rPr>
          <w:rtl w:val="0"/>
        </w:rPr>
      </w:r>
    </w:p>
    <w:p w:rsidR="00000000" w:rsidDel="00000000" w:rsidP="00000000" w:rsidRDefault="00000000" w:rsidRPr="00000000" w14:paraId="0000012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6-2 shows the RG flow trajectories for both factual and creative prompts in the (PR, lambda_max/lambda_+) plane. Both trajectories originate from the same point in the upper-left region (high PR, low lambda_max/lambda_+) at layer 1, reflecting the initially similar, high-dimensional representation in the embedding layer. As the RG flow progresses through successive layers, the trajectories diverge dramatically: the factual trajectory flows toward the lower-right region (low PR, high lambda_max/lambda_+), converging to a “factual fixed point” characterized by extreme spectral concentration. The creative trajectory flows toward the lower-left region (moderate PR, low lambda_max/lambda_+), converging to a “creative fixed point” characterized by distributed spectral weight. The intermediate layers (L5-L8) form a critical region where the trajectories pass closest to each other before diverging, analogous to the critical region near a second-order phase transition in statistical physics.</w:t>
      </w:r>
      <w:r w:rsidDel="00000000" w:rsidR="00000000" w:rsidRPr="00000000">
        <w:rPr>
          <w:rtl w:val="0"/>
        </w:rPr>
      </w:r>
    </w:p>
    <w:p w:rsidR="00000000" w:rsidDel="00000000" w:rsidP="00000000" w:rsidRDefault="00000000" w:rsidRPr="00000000" w14:paraId="00000121">
      <w:pPr>
        <w:pStyle w:val="Heading2"/>
        <w:pBdr>
          <w:left w:color="c9a84c" w:space="10" w:sz="10" w:val="single"/>
        </w:pBdr>
        <w:spacing w:after="180" w:before="360" w:line="360" w:lineRule="auto"/>
        <w:ind w:left="200" w:firstLine="0"/>
        <w:jc w:val="left"/>
        <w:rPr/>
      </w:pPr>
      <w:bookmarkStart w:colFirst="0" w:colLast="0" w:name="_7n318dedouk3" w:id="29"/>
      <w:bookmarkEnd w:id="29"/>
      <w:r w:rsidDel="00000000" w:rsidR="00000000" w:rsidRPr="00000000">
        <w:rPr>
          <w:rFonts w:ascii="Times New Roman" w:cs="Times New Roman" w:eastAsia="Times New Roman" w:hAnsi="Times New Roman"/>
          <w:b w:val="1"/>
          <w:bCs w:val="1"/>
          <w:color w:val="c9a84c"/>
          <w:sz w:val="30"/>
          <w:szCs w:val="30"/>
          <w:rtl w:val="0"/>
        </w:rPr>
        <w:t xml:space="preserve">6.3 Information-Theoretic Connection</w:t>
      </w:r>
      <w:r w:rsidDel="00000000" w:rsidR="00000000" w:rsidRPr="00000000">
        <w:rPr>
          <w:rtl w:val="0"/>
        </w:rPr>
      </w:r>
    </w:p>
    <w:p w:rsidR="00000000" w:rsidDel="00000000" w:rsidP="00000000" w:rsidRDefault="00000000" w:rsidRPr="00000000" w14:paraId="0000012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metrics we have developed have deep connections to information theory. The spectral entropy S_spec = -sum_i lambda_tilde_i log(lambda_tilde_i) is directly related to the von Neumann entropy of the density matrix rho = C / Tr(C), which in quantum information theory measures the entanglement between the observed subsystem and its complement. In the LLM context, we can interpret the covariance matrix C as an effective density matrix over the hidden state space, with S_spec measuring the degree of “entanglement” between the model's representation and the prompt context. Low S_spec (factual) indicates that the model's state is highly correlated with the prompt, while high S_spec (creative) indicates weak correlation.</w:t>
      </w:r>
      <w:r w:rsidDel="00000000" w:rsidR="00000000" w:rsidRPr="00000000">
        <w:rPr>
          <w:rtl w:val="0"/>
        </w:rPr>
      </w:r>
    </w:p>
    <w:tbl>
      <w:tblPr>
        <w:tblStyle w:val="Table20"/>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23">
            <w:pPr>
              <w:jc w:val="center"/>
              <w:rPr/>
            </w:pPr>
            <w:r w:rsidDel="00000000" w:rsidR="00000000" w:rsidRPr="00000000">
              <w:rPr/>
              <w:drawing>
                <wp:inline distB="0" distT="0" distL="0" distR="0">
                  <wp:extent cx="3238500" cy="238125"/>
                  <wp:effectExtent b="0" l="0" r="0" t="0"/>
                  <wp:docPr id="1" name="image1.png"/>
                  <a:graphic>
                    <a:graphicData uri="http://schemas.openxmlformats.org/drawingml/2006/picture">
                      <pic:pic>
                        <pic:nvPicPr>
                          <pic:cNvPr id="0" name="image1.png"/>
                          <pic:cNvPicPr preferRelativeResize="0"/>
                        </pic:nvPicPr>
                        <pic:blipFill>
                          <a:blip r:embed="rId30"/>
                          <a:srcRect b="0" l="0" r="0" t="0"/>
                          <a:stretch>
                            <a:fillRect/>
                          </a:stretch>
                        </pic:blipFill>
                        <pic:spPr>
                          <a:xfrm>
                            <a:off x="0" y="0"/>
                            <a:ext cx="3238500" cy="2381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4">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6-3: Mutual information between input and spectral representation</w:t>
      </w:r>
      <w:r w:rsidDel="00000000" w:rsidR="00000000" w:rsidRPr="00000000">
        <w:rPr>
          <w:rtl w:val="0"/>
        </w:rPr>
      </w:r>
    </w:p>
    <w:p w:rsidR="00000000" w:rsidDel="00000000" w:rsidP="00000000" w:rsidRDefault="00000000" w:rsidRPr="00000000" w14:paraId="0000012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Furthermore, the mutual information I(X; M) between the input X and the spectral representation M = spectrum of C can be decomposed as I(X; M) = H(X) - H(X|M). In the factual regime, H(X|M) is small (the spectral representation M uniquely determines the input class), so I(X; M) is large. In the creative regime, H(X|M) is large (many different inputs produce similar spectral representations), so I(X; M) is small. This information-theoretic perspective confirms that the spectral metrics are not merely phenomenological but are grounded in fundamental principles of statistical inference and information theory.</w:t>
      </w:r>
      <w:r w:rsidDel="00000000" w:rsidR="00000000" w:rsidRPr="00000000">
        <w:rPr>
          <w:rtl w:val="0"/>
        </w:rPr>
      </w:r>
    </w:p>
    <w:p w:rsidR="00000000" w:rsidDel="00000000" w:rsidP="00000000" w:rsidRDefault="00000000" w:rsidRPr="00000000" w14:paraId="00000126">
      <w:pPr>
        <w:pStyle w:val="Heading2"/>
        <w:pBdr>
          <w:left w:color="c9a84c" w:space="10" w:sz="10" w:val="single"/>
        </w:pBdr>
        <w:spacing w:after="180" w:before="360" w:line="360" w:lineRule="auto"/>
        <w:ind w:left="200" w:firstLine="0"/>
        <w:jc w:val="left"/>
        <w:rPr/>
      </w:pPr>
      <w:bookmarkStart w:colFirst="0" w:colLast="0" w:name="_yxjvbi942s07" w:id="30"/>
      <w:bookmarkEnd w:id="30"/>
      <w:r w:rsidDel="00000000" w:rsidR="00000000" w:rsidRPr="00000000">
        <w:rPr>
          <w:rFonts w:ascii="Times New Roman" w:cs="Times New Roman" w:eastAsia="Times New Roman" w:hAnsi="Times New Roman"/>
          <w:b w:val="1"/>
          <w:bCs w:val="1"/>
          <w:color w:val="c9a84c"/>
          <w:sz w:val="30"/>
          <w:szCs w:val="30"/>
          <w:rtl w:val="0"/>
        </w:rPr>
        <w:t xml:space="preserve">6.4 Spacing Ratio and Spectral Correlations</w:t>
      </w:r>
      <w:r w:rsidDel="00000000" w:rsidR="00000000" w:rsidRPr="00000000">
        <w:rPr>
          <w:rtl w:val="0"/>
        </w:rPr>
      </w:r>
    </w:p>
    <w:p w:rsidR="00000000" w:rsidDel="00000000" w:rsidP="00000000" w:rsidRDefault="00000000" w:rsidRPr="00000000" w14:paraId="0000012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spacing ratio distribution provides a sensitive test for universal level statistics in the eigenvalue spectrum. Figure 6-3 shows the empirical spacing ratio distribution for bulk eigenvalues of LLM activation covariance matrices, compared with theoretical predictions for Poisson, GUE, and Wishart ensembles. The empirical distribution falls between the Poisson and GUE predictions, suggesting that LLM activations exhibit partial spectral correlations: more structured than pure random noise (which would follow Poisson statistics) but less rigid than the universal GUE prediction. This intermediate behavior is consistent with the Wishart ensemble prediction, which accounts for the product structure of covariance matrices.</w:t>
      </w:r>
      <w:r w:rsidDel="00000000" w:rsidR="00000000" w:rsidRPr="00000000">
        <w:rPr>
          <w:rtl w:val="0"/>
        </w:rPr>
      </w:r>
    </w:p>
    <w:p w:rsidR="00000000" w:rsidDel="00000000" w:rsidP="00000000" w:rsidRDefault="00000000" w:rsidRPr="00000000" w14:paraId="00000128">
      <w:pPr>
        <w:spacing w:after="100" w:before="200" w:lineRule="auto"/>
        <w:jc w:val="center"/>
        <w:rPr/>
      </w:pPr>
      <w:r w:rsidDel="00000000" w:rsidR="00000000" w:rsidRPr="00000000">
        <w:rPr/>
        <w:drawing>
          <wp:inline distB="0" distT="0" distL="0" distR="0">
            <wp:extent cx="4381500" cy="2867025"/>
            <wp:effectExtent b="0" l="0" r="0" t="0"/>
            <wp:docPr id="2"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4381500"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6-3: Spacing ratio distribution with universal predictions</w:t>
      </w:r>
      <w:r w:rsidDel="00000000" w:rsidR="00000000" w:rsidRPr="00000000">
        <w:rPr>
          <w:rtl w:val="0"/>
        </w:rPr>
      </w:r>
    </w:p>
    <w:p w:rsidR="00000000" w:rsidDel="00000000" w:rsidP="00000000" w:rsidRDefault="00000000" w:rsidRPr="00000000" w14:paraId="0000012A">
      <w:pPr>
        <w:pStyle w:val="Heading2"/>
        <w:pBdr>
          <w:left w:color="c9a84c" w:space="10" w:sz="10" w:val="single"/>
        </w:pBdr>
        <w:spacing w:after="180" w:before="360" w:line="360" w:lineRule="auto"/>
        <w:ind w:left="200" w:firstLine="0"/>
        <w:jc w:val="left"/>
        <w:rPr/>
      </w:pPr>
      <w:bookmarkStart w:colFirst="0" w:colLast="0" w:name="_fw0wii17lvpo" w:id="31"/>
      <w:bookmarkEnd w:id="31"/>
      <w:r w:rsidDel="00000000" w:rsidR="00000000" w:rsidRPr="00000000">
        <w:rPr>
          <w:rFonts w:ascii="Times New Roman" w:cs="Times New Roman" w:eastAsia="Times New Roman" w:hAnsi="Times New Roman"/>
          <w:b w:val="1"/>
          <w:bCs w:val="1"/>
          <w:color w:val="c9a84c"/>
          <w:sz w:val="30"/>
          <w:szCs w:val="30"/>
          <w:rtl w:val="0"/>
        </w:rPr>
        <w:t xml:space="preserve">6.5 BBP Transition Schematic</w:t>
      </w:r>
      <w:r w:rsidDel="00000000" w:rsidR="00000000" w:rsidRPr="00000000">
        <w:rPr>
          <w:rtl w:val="0"/>
        </w:rPr>
      </w:r>
    </w:p>
    <w:p w:rsidR="00000000" w:rsidDel="00000000" w:rsidP="00000000" w:rsidRDefault="00000000" w:rsidRPr="00000000" w14:paraId="0000012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6-4 illustrates the three regimes of the BBP phase transition as applied to LLM activation analysis. In the sub-critical regime (sigma &lt; sigma_c), all eigenvalues are contained within the bulk, and no individual direction carries sufficient variance to be distinguished from noise. This corresponds to creative generation, where the model's representation is distributed across many directions. In the critical regime (sigma = sigma_c), the largest eigenvalue sits precisely at the bulk edge, representing the threshold between factual and creative generation. In the super-critical regime (sigma &gt; sigma_c), the largest eigenvalue has separated from the bulk as an isolated outlier, corresponding to factual generation where a single dominant direction captures the structured signal component.</w:t>
      </w:r>
      <w:r w:rsidDel="00000000" w:rsidR="00000000" w:rsidRPr="00000000">
        <w:rPr>
          <w:rtl w:val="0"/>
        </w:rPr>
      </w:r>
    </w:p>
    <w:p w:rsidR="00000000" w:rsidDel="00000000" w:rsidP="00000000" w:rsidRDefault="00000000" w:rsidRPr="00000000" w14:paraId="0000012C">
      <w:pPr>
        <w:spacing w:after="100" w:before="200" w:lineRule="auto"/>
        <w:jc w:val="center"/>
        <w:rPr/>
      </w:pPr>
      <w:r w:rsidDel="00000000" w:rsidR="00000000" w:rsidRPr="00000000">
        <w:rPr/>
        <w:drawing>
          <wp:inline distB="0" distT="0" distL="0" distR="0">
            <wp:extent cx="4572000" cy="1571625"/>
            <wp:effectExtent b="0" l="0" r="0" t="0"/>
            <wp:docPr id="3"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20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6-4: BBP phase transition schematic for LLM activations</w:t>
      </w:r>
      <w:r w:rsidDel="00000000" w:rsidR="00000000" w:rsidRPr="00000000">
        <w:rPr>
          <w:rtl w:val="0"/>
        </w:rPr>
      </w:r>
    </w:p>
    <w:p w:rsidR="00000000" w:rsidDel="00000000" w:rsidP="00000000" w:rsidRDefault="00000000" w:rsidRPr="00000000" w14:paraId="0000012E">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12F">
      <w:pPr>
        <w:pStyle w:val="Heading1"/>
        <w:pBdr>
          <w:bottom w:color="c9a84c" w:space="8" w:sz="4" w:val="single"/>
        </w:pBdr>
        <w:spacing w:after="240" w:before="480" w:line="400" w:lineRule="auto"/>
        <w:jc w:val="left"/>
        <w:rPr/>
      </w:pPr>
      <w:bookmarkStart w:colFirst="0" w:colLast="0" w:name="_38d62r26xqut" w:id="32"/>
      <w:bookmarkEnd w:id="32"/>
      <w:r w:rsidDel="00000000" w:rsidR="00000000" w:rsidRPr="00000000">
        <w:rPr>
          <w:rFonts w:ascii="Times New Roman" w:cs="Times New Roman" w:eastAsia="Times New Roman" w:hAnsi="Times New Roman"/>
          <w:b w:val="1"/>
          <w:bCs w:val="1"/>
          <w:color w:val="c9a84c"/>
          <w:sz w:val="36"/>
          <w:szCs w:val="36"/>
          <w:rtl w:val="0"/>
        </w:rPr>
        <w:t xml:space="preserve">7. Spectral Form Factor Analysis</w:t>
      </w:r>
      <w:r w:rsidDel="00000000" w:rsidR="00000000" w:rsidRPr="00000000">
        <w:rPr>
          <w:rtl w:val="0"/>
        </w:rPr>
      </w:r>
    </w:p>
    <w:p w:rsidR="00000000" w:rsidDel="00000000" w:rsidP="00000000" w:rsidRDefault="00000000" w:rsidRPr="00000000" w14:paraId="00000130">
      <w:pPr>
        <w:pStyle w:val="Heading2"/>
        <w:pBdr>
          <w:left w:color="c9a84c" w:space="10" w:sz="10" w:val="single"/>
        </w:pBdr>
        <w:spacing w:after="180" w:before="360" w:line="360" w:lineRule="auto"/>
        <w:ind w:left="200" w:firstLine="0"/>
        <w:jc w:val="left"/>
        <w:rPr/>
      </w:pPr>
      <w:bookmarkStart w:colFirst="0" w:colLast="0" w:name="_4acjb9ryrajf" w:id="33"/>
      <w:bookmarkEnd w:id="33"/>
      <w:r w:rsidDel="00000000" w:rsidR="00000000" w:rsidRPr="00000000">
        <w:rPr>
          <w:rFonts w:ascii="Times New Roman" w:cs="Times New Roman" w:eastAsia="Times New Roman" w:hAnsi="Times New Roman"/>
          <w:b w:val="1"/>
          <w:bCs w:val="1"/>
          <w:color w:val="c9a84c"/>
          <w:sz w:val="30"/>
          <w:szCs w:val="30"/>
          <w:rtl w:val="0"/>
        </w:rPr>
        <w:t xml:space="preserve">7.1 Empirical Spectral Form Factor</w:t>
      </w:r>
      <w:r w:rsidDel="00000000" w:rsidR="00000000" w:rsidRPr="00000000">
        <w:rPr>
          <w:rtl w:val="0"/>
        </w:rPr>
      </w:r>
    </w:p>
    <w:p w:rsidR="00000000" w:rsidDel="00000000" w:rsidP="00000000" w:rsidRDefault="00000000" w:rsidRPr="00000000" w14:paraId="0000013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spectral form factor (SFF) provides a dynamic perspective on the spectral structure by analyzing the eigenvalue spectrum in the Fourier domain. Figure 7-1 shows the empirical SFF for both factual and creative generation modes, plotted on a logarithmic scale to highlight the power-law behavior in the slope and ramp regimes. The factual SFF exhibits a pronounced initial peak at short times (t ≈ 0.1-0.5), corresponding to the coherent oscillation driven by the dominant outlier eigenvalue. This peak is absent in the creative SFF, which shows a smooth, monotonic decay from the slope regime through the dip to the plateau. The dip time t_dip is shorter for factual generation (t_dip ≈ 0.5) than for creative generation (t_dip ≈ 2.0), reflecting the compressed spectral range in the factual case that brings the eigenvalue correlations into closer proximity.</w:t>
      </w:r>
      <w:r w:rsidDel="00000000" w:rsidR="00000000" w:rsidRPr="00000000">
        <w:rPr>
          <w:rtl w:val="0"/>
        </w:rPr>
      </w:r>
    </w:p>
    <w:p w:rsidR="00000000" w:rsidDel="00000000" w:rsidP="00000000" w:rsidRDefault="00000000" w:rsidRPr="00000000" w14:paraId="00000132">
      <w:pPr>
        <w:spacing w:after="100" w:before="200" w:lineRule="auto"/>
        <w:jc w:val="center"/>
        <w:rPr/>
      </w:pPr>
      <w:r w:rsidDel="00000000" w:rsidR="00000000" w:rsidRPr="00000000">
        <w:rPr/>
        <w:drawing>
          <wp:inline distB="0" distT="0" distL="0" distR="0">
            <wp:extent cx="4381500" cy="5448300"/>
            <wp:effectExtent b="0" l="0" r="0" t="0"/>
            <wp:docPr id="4"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43815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7-1: Spectral form factor comparison</w:t>
      </w:r>
      <w:r w:rsidDel="00000000" w:rsidR="00000000" w:rsidRPr="00000000">
        <w:rPr>
          <w:rtl w:val="0"/>
        </w:rPr>
      </w:r>
    </w:p>
    <w:p w:rsidR="00000000" w:rsidDel="00000000" w:rsidP="00000000" w:rsidRDefault="00000000" w:rsidRPr="00000000" w14:paraId="0000013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plateau value K_plateau provides a direct measure of the effective dimensionality of the spectral space. For factual generation, K_plateau ≈ 0.01 (corresponding to an effective dimension of ~100), while for creative generation, K_plateau ≈ 0.003 (effective dimension ~300). These values are consistent with the PR measurements reported in Section 4 and provide independent confirmation of the spectral concentration in factual generation versus the distributed structure in creative generation.</w:t>
      </w:r>
      <w:r w:rsidDel="00000000" w:rsidR="00000000" w:rsidRPr="00000000">
        <w:rPr>
          <w:rtl w:val="0"/>
        </w:rPr>
      </w:r>
    </w:p>
    <w:p w:rsidR="00000000" w:rsidDel="00000000" w:rsidP="00000000" w:rsidRDefault="00000000" w:rsidRPr="00000000" w14:paraId="00000135">
      <w:pPr>
        <w:pStyle w:val="Heading2"/>
        <w:pBdr>
          <w:left w:color="c9a84c" w:space="10" w:sz="10" w:val="single"/>
        </w:pBdr>
        <w:spacing w:after="180" w:before="360" w:line="360" w:lineRule="auto"/>
        <w:ind w:left="200" w:firstLine="0"/>
        <w:jc w:val="left"/>
        <w:rPr/>
      </w:pPr>
      <w:bookmarkStart w:colFirst="0" w:colLast="0" w:name="_teovg15kkggj" w:id="34"/>
      <w:bookmarkEnd w:id="34"/>
      <w:r w:rsidDel="00000000" w:rsidR="00000000" w:rsidRPr="00000000">
        <w:rPr>
          <w:rFonts w:ascii="Times New Roman" w:cs="Times New Roman" w:eastAsia="Times New Roman" w:hAnsi="Times New Roman"/>
          <w:b w:val="1"/>
          <w:bCs w:val="1"/>
          <w:color w:val="c9a84c"/>
          <w:sz w:val="30"/>
          <w:szCs w:val="30"/>
          <w:rtl w:val="0"/>
        </w:rPr>
        <w:t xml:space="preserve">7.2 Comprehensive Spectral Metrics Heatmap</w:t>
      </w:r>
      <w:r w:rsidDel="00000000" w:rsidR="00000000" w:rsidRPr="00000000">
        <w:rPr>
          <w:rtl w:val="0"/>
        </w:rPr>
      </w:r>
    </w:p>
    <w:p w:rsidR="00000000" w:rsidDel="00000000" w:rsidP="00000000" w:rsidRDefault="00000000" w:rsidRPr="00000000" w14:paraId="0000013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Figure 7-2 presents a comprehensive heatmap of all spectral metrics across GPT-2 layers for factual prompts, providing a holistic view of the spectral evolution. The heatmap reveals the coordinated evolution of all metrics: as layers progress from L1 to L12, PR decreases, SNR increases, S_spec decreases, lambda_max/lambda_+ increases, IPR increases, and the Tracy-Widom statistic first increases (reaching a peak at the critical layers L6-L7) then decreases. The non-monotonic behavior of the Tracy-Widom statistic is particularly noteworthy, as it suggests that the spectral edge fluctuations are largest at the critical layers, consistent with the enhanced susceptibility expected near a phase transition.</w:t>
      </w:r>
      <w:r w:rsidDel="00000000" w:rsidR="00000000" w:rsidRPr="00000000">
        <w:rPr>
          <w:rtl w:val="0"/>
        </w:rPr>
      </w:r>
    </w:p>
    <w:p w:rsidR="00000000" w:rsidDel="00000000" w:rsidP="00000000" w:rsidRDefault="00000000" w:rsidRPr="00000000" w14:paraId="00000137">
      <w:pPr>
        <w:spacing w:after="100" w:before="200" w:lineRule="auto"/>
        <w:jc w:val="center"/>
        <w:rPr/>
      </w:pPr>
      <w:r w:rsidDel="00000000" w:rsidR="00000000" w:rsidRPr="00000000">
        <w:rPr/>
        <w:drawing>
          <wp:inline distB="0" distT="0" distL="0" distR="0">
            <wp:extent cx="4572000" cy="2638425"/>
            <wp:effectExtent b="0" l="0" r="0" t="0"/>
            <wp:docPr id="5"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4572000" cy="263842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Figure 7-2: Comprehensive spectral metrics heatmap across GPT-2 layers</w:t>
      </w:r>
      <w:r w:rsidDel="00000000" w:rsidR="00000000" w:rsidRPr="00000000">
        <w:rPr>
          <w:rtl w:val="0"/>
        </w:rPr>
      </w:r>
    </w:p>
    <w:p w:rsidR="00000000" w:rsidDel="00000000" w:rsidP="00000000" w:rsidRDefault="00000000" w:rsidRPr="00000000" w14:paraId="00000139">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13A">
      <w:pPr>
        <w:pStyle w:val="Heading1"/>
        <w:pBdr>
          <w:bottom w:color="c9a84c" w:space="8" w:sz="4" w:val="single"/>
        </w:pBdr>
        <w:spacing w:after="240" w:before="480" w:line="400" w:lineRule="auto"/>
        <w:jc w:val="left"/>
        <w:rPr/>
      </w:pPr>
      <w:bookmarkStart w:colFirst="0" w:colLast="0" w:name="_5eyi2peyh417" w:id="35"/>
      <w:bookmarkEnd w:id="35"/>
      <w:r w:rsidDel="00000000" w:rsidR="00000000" w:rsidRPr="00000000">
        <w:rPr>
          <w:rFonts w:ascii="Times New Roman" w:cs="Times New Roman" w:eastAsia="Times New Roman" w:hAnsi="Times New Roman"/>
          <w:b w:val="1"/>
          <w:bCs w:val="1"/>
          <w:color w:val="c9a84c"/>
          <w:sz w:val="36"/>
          <w:szCs w:val="36"/>
          <w:rtl w:val="0"/>
        </w:rPr>
        <w:t xml:space="preserve">8. Discussion</w:t>
      </w:r>
      <w:r w:rsidDel="00000000" w:rsidR="00000000" w:rsidRPr="00000000">
        <w:rPr>
          <w:rtl w:val="0"/>
        </w:rPr>
      </w:r>
    </w:p>
    <w:p w:rsidR="00000000" w:rsidDel="00000000" w:rsidP="00000000" w:rsidRDefault="00000000" w:rsidRPr="00000000" w14:paraId="0000013B">
      <w:pPr>
        <w:pStyle w:val="Heading2"/>
        <w:pBdr>
          <w:left w:color="c9a84c" w:space="10" w:sz="10" w:val="single"/>
        </w:pBdr>
        <w:spacing w:after="180" w:before="360" w:line="360" w:lineRule="auto"/>
        <w:ind w:left="200" w:firstLine="0"/>
        <w:jc w:val="left"/>
        <w:rPr/>
      </w:pPr>
      <w:bookmarkStart w:colFirst="0" w:colLast="0" w:name="_y25l6959ypva" w:id="36"/>
      <w:bookmarkEnd w:id="36"/>
      <w:r w:rsidDel="00000000" w:rsidR="00000000" w:rsidRPr="00000000">
        <w:rPr>
          <w:rFonts w:ascii="Times New Roman" w:cs="Times New Roman" w:eastAsia="Times New Roman" w:hAnsi="Times New Roman"/>
          <w:b w:val="1"/>
          <w:bCs w:val="1"/>
          <w:color w:val="c9a84c"/>
          <w:sz w:val="30"/>
          <w:szCs w:val="30"/>
          <w:rtl w:val="0"/>
        </w:rPr>
        <w:t xml:space="preserve">8.1 Implications for LLM Interpretability</w:t>
      </w:r>
      <w:r w:rsidDel="00000000" w:rsidR="00000000" w:rsidRPr="00000000">
        <w:rPr>
          <w:rtl w:val="0"/>
        </w:rPr>
      </w:r>
    </w:p>
    <w:p w:rsidR="00000000" w:rsidDel="00000000" w:rsidP="00000000" w:rsidRDefault="00000000" w:rsidRPr="00000000" w14:paraId="0000013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findings have several important implications for the interpretability and control of large language models. First, the spectral signatures we have identified provide a principled, quantitative method for detecting the generation mode of an LLM without requiring access to the model's output or explicit probing. By computing the covariance matrix of hidden-state activations and analyzing its eigenvalue spectrum, one can determine whether the model is operating in a factual or creative regime at any given layer and for any given input. This capability could be valuable for real-time monitoring of LLM behavior in safety-critical applications, where distinguishing factual recall from creative confabulation is essential.</w:t>
      </w:r>
      <w:r w:rsidDel="00000000" w:rsidR="00000000" w:rsidRPr="00000000">
        <w:rPr>
          <w:rtl w:val="0"/>
        </w:rPr>
      </w:r>
    </w:p>
    <w:p w:rsidR="00000000" w:rsidDel="00000000" w:rsidP="00000000" w:rsidRDefault="00000000" w:rsidRPr="00000000" w14:paraId="0000013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Second, the BBP phase transition provides a natural threshold for detecting when an LLM transitions from reliable factual generation to unreliable creative generation. By monitoring the lambda_max/lambda_+ ratio during generation, one could implement a spectral “alarm” that triggers when the ratio drops below a critical threshold, signaling that the model has left the factual regime and may produce unreliable output. This approach is fundamentally different from existing methods for hallucination detection, which typically rely on output-level heuristics such as token probability or consistency checks, and instead probes the model's internal activation dynamics directly.</w:t>
      </w:r>
      <w:r w:rsidDel="00000000" w:rsidR="00000000" w:rsidRPr="00000000">
        <w:rPr>
          <w:rtl w:val="0"/>
        </w:rPr>
      </w:r>
    </w:p>
    <w:p w:rsidR="00000000" w:rsidDel="00000000" w:rsidP="00000000" w:rsidRDefault="00000000" w:rsidRPr="00000000" w14:paraId="0000013E">
      <w:pPr>
        <w:pStyle w:val="Heading2"/>
        <w:pBdr>
          <w:left w:color="c9a84c" w:space="10" w:sz="10" w:val="single"/>
        </w:pBdr>
        <w:spacing w:after="180" w:before="360" w:line="360" w:lineRule="auto"/>
        <w:ind w:left="200" w:firstLine="0"/>
        <w:jc w:val="left"/>
        <w:rPr/>
      </w:pPr>
      <w:bookmarkStart w:colFirst="0" w:colLast="0" w:name="_36s1rrroog6j" w:id="37"/>
      <w:bookmarkEnd w:id="37"/>
      <w:r w:rsidDel="00000000" w:rsidR="00000000" w:rsidRPr="00000000">
        <w:rPr>
          <w:rFonts w:ascii="Times New Roman" w:cs="Times New Roman" w:eastAsia="Times New Roman" w:hAnsi="Times New Roman"/>
          <w:b w:val="1"/>
          <w:bCs w:val="1"/>
          <w:color w:val="c9a84c"/>
          <w:sz w:val="30"/>
          <w:szCs w:val="30"/>
          <w:rtl w:val="0"/>
        </w:rPr>
        <w:t xml:space="preserve">8.2 Connections to Other Work</w:t>
      </w:r>
      <w:r w:rsidDel="00000000" w:rsidR="00000000" w:rsidRPr="00000000">
        <w:rPr>
          <w:rtl w:val="0"/>
        </w:rPr>
      </w:r>
    </w:p>
    <w:p w:rsidR="00000000" w:rsidDel="00000000" w:rsidP="00000000" w:rsidRDefault="00000000" w:rsidRPr="00000000" w14:paraId="0000013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Our work connects to several active research areas in the intersection of physics and machine learning. The application of RMT to neural network weight matrices has been explored by Martin and Mahoney (2021), who showed that the spectral structure of trained network weights deviates systematically from random matrix predictions in ways that correlate with generalization performance. Our work extends this line of inquiry from weight matrices to activation matrices, showing that the spectral structure of activations (rather than weights) carries information about the model's computational mode. This distinction is crucial because weight matrices are static properties of the model, while activation matrices are dynamic properties that vary with each input, making them more informative about the model's real-time behavior.</w:t>
      </w:r>
      <w:r w:rsidDel="00000000" w:rsidR="00000000" w:rsidRPr="00000000">
        <w:rPr>
          <w:rtl w:val="0"/>
        </w:rPr>
      </w:r>
    </w:p>
    <w:p w:rsidR="00000000" w:rsidDel="00000000" w:rsidP="00000000" w:rsidRDefault="00000000" w:rsidRPr="00000000" w14:paraId="0000014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thermodynamic analogy we have developed connects to the growing body of work on “sloppy models” and effective theories in complex systems. In sloppy models, the parameter space has a hierarchy of stiff and sloppy directions, with only a few stiff directions significantly affecting model predictions. Our spectral analysis reveals that LLM activations exhibit exactly this structure in the factual regime: the dominant eigenvector (stiff direction) carries the factual signal, while the remaining eigenvectors (sloppy directions) contribute primarily noise. The creative regime, by contrast, has no clear stiff-sloppy hierarchy, with all directions contributing comparably to the model's output.</w:t>
      </w:r>
      <w:r w:rsidDel="00000000" w:rsidR="00000000" w:rsidRPr="00000000">
        <w:rPr>
          <w:rtl w:val="0"/>
        </w:rPr>
      </w:r>
    </w:p>
    <w:p w:rsidR="00000000" w:rsidDel="00000000" w:rsidP="00000000" w:rsidRDefault="00000000" w:rsidRPr="00000000" w14:paraId="00000141">
      <w:pPr>
        <w:pStyle w:val="Heading2"/>
        <w:pBdr>
          <w:left w:color="c9a84c" w:space="10" w:sz="10" w:val="single"/>
        </w:pBdr>
        <w:spacing w:after="180" w:before="360" w:line="360" w:lineRule="auto"/>
        <w:ind w:left="200" w:firstLine="0"/>
        <w:jc w:val="left"/>
        <w:rPr/>
      </w:pPr>
      <w:bookmarkStart w:colFirst="0" w:colLast="0" w:name="_axrgad7rq16d" w:id="38"/>
      <w:bookmarkEnd w:id="38"/>
      <w:r w:rsidDel="00000000" w:rsidR="00000000" w:rsidRPr="00000000">
        <w:rPr>
          <w:rFonts w:ascii="Times New Roman" w:cs="Times New Roman" w:eastAsia="Times New Roman" w:hAnsi="Times New Roman"/>
          <w:b w:val="1"/>
          <w:bCs w:val="1"/>
          <w:color w:val="c9a84c"/>
          <w:sz w:val="30"/>
          <w:szCs w:val="30"/>
          <w:rtl w:val="0"/>
        </w:rPr>
        <w:t xml:space="preserve">8.3 Limitations</w:t>
      </w:r>
      <w:r w:rsidDel="00000000" w:rsidR="00000000" w:rsidRPr="00000000">
        <w:rPr>
          <w:rtl w:val="0"/>
        </w:rPr>
      </w:r>
    </w:p>
    <w:p w:rsidR="00000000" w:rsidDel="00000000" w:rsidP="00000000" w:rsidRDefault="00000000" w:rsidRPr="00000000" w14:paraId="0000014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limitations of our work should be acknowledged. First, our analysis is limited to GPT-2 (124M parameters), and it remains to be verified whether the spectral signatures we have identified scale to larger models such as GPT-3, GPT-4, or LLaMA. While RMT predictions are universal in the asymptotic limit, finite-size effects may alter the spectral structure in models with different architectures or scales. Second, our prompt sets, while carefully designed, cover only a limited range of factual and creative content, and more comprehensive evaluations are needed to assess the robustness of the spectral signatures across diverse domains and languages.</w:t>
      </w:r>
      <w:r w:rsidDel="00000000" w:rsidR="00000000" w:rsidRPr="00000000">
        <w:rPr>
          <w:rtl w:val="0"/>
        </w:rPr>
      </w:r>
    </w:p>
    <w:p w:rsidR="00000000" w:rsidDel="00000000" w:rsidP="00000000" w:rsidRDefault="00000000" w:rsidRPr="00000000" w14:paraId="0000014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Third, the connection between spectral signatures and model behavior is correlational rather than causal. While we have shown that factual generation produces spectral signatures consistent with the BBP transition, we have not demonstrated that manipulating the spectrum (e.g., by projecting out the dominant eigenvector) causally affects the model's generation mode. Establishing this causal link would require intervention experiments that go beyond the observational analysis presented here. Fourth, the thermodynamic analogy, while conceptually illuminating, should not be taken too literally: the “temperature” in the free energy framework is the generation temperature (a model parameter), not a physical temperature, and the “phase transition” is a mathematical analogy rather than a physical phenomenon.</w:t>
      </w:r>
      <w:r w:rsidDel="00000000" w:rsidR="00000000" w:rsidRPr="00000000">
        <w:rPr>
          <w:rtl w:val="0"/>
        </w:rPr>
      </w:r>
    </w:p>
    <w:p w:rsidR="00000000" w:rsidDel="00000000" w:rsidP="00000000" w:rsidRDefault="00000000" w:rsidRPr="00000000" w14:paraId="00000144">
      <w:pPr>
        <w:pStyle w:val="Heading2"/>
        <w:pBdr>
          <w:left w:color="c9a84c" w:space="10" w:sz="10" w:val="single"/>
        </w:pBdr>
        <w:spacing w:after="180" w:before="360" w:line="360" w:lineRule="auto"/>
        <w:ind w:left="200" w:firstLine="0"/>
        <w:jc w:val="left"/>
        <w:rPr/>
      </w:pPr>
      <w:bookmarkStart w:colFirst="0" w:colLast="0" w:name="_320463hdzmvt" w:id="39"/>
      <w:bookmarkEnd w:id="39"/>
      <w:r w:rsidDel="00000000" w:rsidR="00000000" w:rsidRPr="00000000">
        <w:rPr>
          <w:rFonts w:ascii="Times New Roman" w:cs="Times New Roman" w:eastAsia="Times New Roman" w:hAnsi="Times New Roman"/>
          <w:b w:val="1"/>
          <w:bCs w:val="1"/>
          <w:color w:val="c9a84c"/>
          <w:sz w:val="30"/>
          <w:szCs w:val="30"/>
          <w:rtl w:val="0"/>
        </w:rPr>
        <w:t xml:space="preserve">8.4 Future Directions</w:t>
      </w:r>
      <w:r w:rsidDel="00000000" w:rsidR="00000000" w:rsidRPr="00000000">
        <w:rPr>
          <w:rtl w:val="0"/>
        </w:rPr>
      </w:r>
    </w:p>
    <w:p w:rsidR="00000000" w:rsidDel="00000000" w:rsidP="00000000" w:rsidRDefault="00000000" w:rsidRPr="00000000" w14:paraId="0000014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Several promising directions emerge from this work. First, the extension to larger models (GPT-3, GPT-4, LLaMA) would test the universality of the spectral signatures and potentially reveal new phenomena at scale. Second, causal intervention experiments—such as projecting out specific eigenvectors from the activation space or injecting artificial signal components—would establish the causal role of spectral structure in generation mode. Third, the development of real-time spectral monitoring tools would enable practical applications in LLM safety and alignment, allowing dynamic detection of mode transitions during generation. Fourth, the connection between spectral metrics and information-theoretic quantities suggests that the free energy framework could be extended to include additional terms (e.g., a “spectral pressure” term related to the model's confidence), providing a more complete thermodynamic description of LLM activation dynamics.</w:t>
      </w:r>
      <w:r w:rsidDel="00000000" w:rsidR="00000000" w:rsidRPr="00000000">
        <w:rPr>
          <w:rtl w:val="0"/>
        </w:rPr>
      </w:r>
    </w:p>
    <w:p w:rsidR="00000000" w:rsidDel="00000000" w:rsidP="00000000" w:rsidRDefault="00000000" w:rsidRPr="00000000" w14:paraId="00000146">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147">
      <w:pPr>
        <w:pStyle w:val="Heading1"/>
        <w:pBdr>
          <w:bottom w:color="c9a84c" w:space="8" w:sz="4" w:val="single"/>
        </w:pBdr>
        <w:spacing w:after="240" w:before="480" w:line="400" w:lineRule="auto"/>
        <w:jc w:val="left"/>
        <w:rPr/>
      </w:pPr>
      <w:bookmarkStart w:colFirst="0" w:colLast="0" w:name="_kt2yq1q1yrc" w:id="40"/>
      <w:bookmarkEnd w:id="40"/>
      <w:r w:rsidDel="00000000" w:rsidR="00000000" w:rsidRPr="00000000">
        <w:rPr>
          <w:rFonts w:ascii="Times New Roman" w:cs="Times New Roman" w:eastAsia="Times New Roman" w:hAnsi="Times New Roman"/>
          <w:b w:val="1"/>
          <w:bCs w:val="1"/>
          <w:color w:val="c9a84c"/>
          <w:sz w:val="36"/>
          <w:szCs w:val="36"/>
          <w:rtl w:val="0"/>
        </w:rPr>
        <w:t xml:space="preserve">9. Conclusions</w:t>
      </w:r>
      <w:r w:rsidDel="00000000" w:rsidR="00000000" w:rsidRPr="00000000">
        <w:rPr>
          <w:rtl w:val="0"/>
        </w:rPr>
      </w:r>
    </w:p>
    <w:p w:rsidR="00000000" w:rsidDel="00000000" w:rsidP="00000000" w:rsidRDefault="00000000" w:rsidRPr="00000000" w14:paraId="0000014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have presented a comprehensive application of Random Matrix Theory to the analysis of activation matrices in large language models, demonstrating that the spectral properties of covariance matrices formed from GPT-2 hidden-state activations provide a principled and robust method for distinguishing between factual and creative generation modes. The key findings of this work can be summarized as follows.</w:t>
      </w:r>
      <w:r w:rsidDel="00000000" w:rsidR="00000000" w:rsidRPr="00000000">
        <w:rPr>
          <w:rtl w:val="0"/>
        </w:rPr>
      </w:r>
    </w:p>
    <w:tbl>
      <w:tblPr>
        <w:tblStyle w:val="Table21"/>
        <w:tblW w:w="879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0"/>
        <w:gridCol w:w="6240"/>
        <w:tblGridChange w:id="0">
          <w:tblGrid>
            <w:gridCol w:w="2550"/>
            <w:gridCol w:w="6240"/>
          </w:tblGrid>
        </w:tblGridChange>
      </w:tblGrid>
      <w:tr>
        <w:trPr>
          <w:cantSplit w:val="0"/>
          <w:tblHeader w:val="0"/>
        </w:trPr>
        <w:tc>
          <w:tcPr>
            <w:gridSpan w:val="2"/>
            <w:tcBorders>
              <w:top w:color="000000" w:space="0" w:sz="0" w:val="nil"/>
              <w:left w:color="000000" w:space="0" w:sz="0" w:val="nil"/>
              <w:bottom w:color="000000" w:space="0" w:sz="0" w:val="nil"/>
              <w:right w:color="000000" w:space="0" w:sz="0" w:val="nil"/>
            </w:tcBorders>
            <w:shd w:fill="c9a84c" w:val="clear"/>
            <w:tcMar>
              <w:top w:w="80.0" w:type="dxa"/>
              <w:left w:w="160.0" w:type="dxa"/>
              <w:bottom w:w="80.0" w:type="dxa"/>
              <w:right w:w="160.0" w:type="dxa"/>
            </w:tcMar>
          </w:tcPr>
          <w:p w:rsidR="00000000" w:rsidDel="00000000" w:rsidP="00000000" w:rsidRDefault="00000000" w:rsidRPr="00000000" w14:paraId="00000149">
            <w:pPr>
              <w:rPr/>
            </w:pPr>
            <w:r w:rsidDel="00000000" w:rsidR="00000000" w:rsidRPr="00000000">
              <w:rPr>
                <w:rFonts w:ascii="Times New Roman" w:cs="Times New Roman" w:eastAsia="Times New Roman" w:hAnsi="Times New Roman"/>
                <w:b w:val="1"/>
                <w:bCs w:val="1"/>
                <w:color w:val="1a1a1a"/>
                <w:sz w:val="22"/>
                <w:szCs w:val="22"/>
                <w:rtl w:val="0"/>
              </w:rPr>
              <w:t xml:space="preserve">Key Results Summary</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B">
            <w:pPr>
              <w:rPr/>
            </w:pPr>
            <w:r w:rsidDel="00000000" w:rsidR="00000000" w:rsidRPr="00000000">
              <w:rPr>
                <w:rFonts w:ascii="Times New Roman" w:cs="Times New Roman" w:eastAsia="Times New Roman" w:hAnsi="Times New Roman"/>
                <w:color w:val="8b7535"/>
                <w:sz w:val="20"/>
                <w:szCs w:val="20"/>
                <w:rtl w:val="0"/>
              </w:rPr>
              <w:t xml:space="preserve">1. Marchenko-Pastur Validity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C">
            <w:pPr>
              <w:rPr/>
            </w:pPr>
            <w:r w:rsidDel="00000000" w:rsidR="00000000" w:rsidRPr="00000000">
              <w:rPr>
                <w:rFonts w:ascii="Times New Roman" w:cs="Times New Roman" w:eastAsia="Times New Roman" w:hAnsi="Times New Roman"/>
                <w:color w:val="1a1a14"/>
                <w:sz w:val="20"/>
                <w:szCs w:val="20"/>
                <w:rtl w:val="0"/>
              </w:rPr>
              <w:t xml:space="preserve">The MP law accurately describes the bulk eigenvalue spectrum of LLM activation covariance matrices, providing a well-calibrated null model for detecting structured signals.</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D">
            <w:pPr>
              <w:rPr/>
            </w:pPr>
            <w:r w:rsidDel="00000000" w:rsidR="00000000" w:rsidRPr="00000000">
              <w:rPr>
                <w:rFonts w:ascii="Times New Roman" w:cs="Times New Roman" w:eastAsia="Times New Roman" w:hAnsi="Times New Roman"/>
                <w:color w:val="8b7535"/>
                <w:sz w:val="20"/>
                <w:szCs w:val="20"/>
                <w:rtl w:val="0"/>
              </w:rPr>
              <w:t xml:space="preserve">2. BBP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4E">
            <w:pPr>
              <w:rPr/>
            </w:pPr>
            <w:r w:rsidDel="00000000" w:rsidR="00000000" w:rsidRPr="00000000">
              <w:rPr>
                <w:rFonts w:ascii="Times New Roman" w:cs="Times New Roman" w:eastAsia="Times New Roman" w:hAnsi="Times New Roman"/>
                <w:color w:val="1a1a14"/>
                <w:sz w:val="20"/>
                <w:szCs w:val="20"/>
                <w:rtl w:val="0"/>
              </w:rPr>
              <w:t xml:space="preserve">Factual generation produces a clear BBP transition with lambda_max/lambda_+ &gt; 3.5, while creative generation remains in the sub-critical regime with lambda_max/lambda_+ &lt; 1.5.</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4F">
            <w:pPr>
              <w:rPr/>
            </w:pPr>
            <w:r w:rsidDel="00000000" w:rsidR="00000000" w:rsidRPr="00000000">
              <w:rPr>
                <w:rFonts w:ascii="Times New Roman" w:cs="Times New Roman" w:eastAsia="Times New Roman" w:hAnsi="Times New Roman"/>
                <w:color w:val="8b7535"/>
                <w:sz w:val="20"/>
                <w:szCs w:val="20"/>
                <w:rtl w:val="0"/>
              </w:rPr>
              <w:t xml:space="preserve">3. Spectral Free Energy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0">
            <w:pPr>
              <w:rPr/>
            </w:pPr>
            <w:r w:rsidDel="00000000" w:rsidR="00000000" w:rsidRPr="00000000">
              <w:rPr>
                <w:rFonts w:ascii="Times New Roman" w:cs="Times New Roman" w:eastAsia="Times New Roman" w:hAnsi="Times New Roman"/>
                <w:color w:val="1a1a14"/>
                <w:sz w:val="20"/>
                <w:szCs w:val="20"/>
                <w:rtl w:val="0"/>
              </w:rPr>
              <w:t xml:space="preserve">F = U - TS_spec naturally distinguishes factual (F &lt; 0, bound state) from creative (F ≈ 0, gas state) phases, providing a thermodynamic framework for generation mode classification.</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1">
            <w:pPr>
              <w:rPr/>
            </w:pPr>
            <w:r w:rsidDel="00000000" w:rsidR="00000000" w:rsidRPr="00000000">
              <w:rPr>
                <w:rFonts w:ascii="Times New Roman" w:cs="Times New Roman" w:eastAsia="Times New Roman" w:hAnsi="Times New Roman"/>
                <w:color w:val="8b7535"/>
                <w:sz w:val="20"/>
                <w:szCs w:val="20"/>
                <w:rtl w:val="0"/>
              </w:rPr>
              <w:t xml:space="preserve">4. RG Flow</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2">
            <w:pPr>
              <w:rPr/>
            </w:pPr>
            <w:r w:rsidDel="00000000" w:rsidR="00000000" w:rsidRPr="00000000">
              <w:rPr>
                <w:rFonts w:ascii="Times New Roman" w:cs="Times New Roman" w:eastAsia="Times New Roman" w:hAnsi="Times New Roman"/>
                <w:color w:val="1a1a14"/>
                <w:sz w:val="20"/>
                <w:szCs w:val="20"/>
                <w:rtl w:val="0"/>
              </w:rPr>
              <w:t xml:space="preserve">Layer-wise spectral evolution follows RG flow trajectories with two fixed points (factual and creative) and a critical region at layers 5-8.</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3">
            <w:pPr>
              <w:rPr/>
            </w:pPr>
            <w:r w:rsidDel="00000000" w:rsidR="00000000" w:rsidRPr="00000000">
              <w:rPr>
                <w:rFonts w:ascii="Times New Roman" w:cs="Times New Roman" w:eastAsia="Times New Roman" w:hAnsi="Times New Roman"/>
                <w:color w:val="8b7535"/>
                <w:sz w:val="20"/>
                <w:szCs w:val="20"/>
                <w:rtl w:val="0"/>
              </w:rPr>
              <w:t xml:space="preserve">5. Temperature Phase Transition</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4">
            <w:pPr>
              <w:rPr/>
            </w:pPr>
            <w:r w:rsidDel="00000000" w:rsidR="00000000" w:rsidRPr="00000000">
              <w:rPr>
                <w:rFonts w:ascii="Times New Roman" w:cs="Times New Roman" w:eastAsia="Times New Roman" w:hAnsi="Times New Roman"/>
                <w:color w:val="1a1a14"/>
                <w:sz w:val="20"/>
                <w:szCs w:val="20"/>
                <w:rtl w:val="0"/>
              </w:rPr>
              <w:t xml:space="preserve">Continuous spectral phase transition at T ≈ 1.0 confirms the thermodynamic interpretation.</w:t>
            </w:r>
            <w:r w:rsidDel="00000000" w:rsidR="00000000" w:rsidRPr="00000000">
              <w:rPr>
                <w:rtl w:val="0"/>
              </w:rPr>
            </w:r>
          </w:p>
        </w:tc>
      </w:tr>
      <w:tr>
        <w:trPr>
          <w:cantSplit w:val="0"/>
          <w:tblHeader w:val="0"/>
        </w:trPr>
        <w:tc>
          <w:tcPr>
            <w:tcBorders>
              <w:top w:color="000000" w:space="0" w:sz="0" w:val="nil"/>
              <w:left w:color="000000" w:space="0" w:sz="0" w:val="nil"/>
              <w:bottom w:color="8b7535" w:space="0" w:sz="4" w:val="single"/>
              <w:right w:color="000000" w:space="0" w:sz="0" w:val="nil"/>
            </w:tcBorders>
            <w:shd w:fill="fbf8f0" w:val="clear"/>
            <w:tcMar>
              <w:top w:w="60.0" w:type="dxa"/>
              <w:left w:w="160.0" w:type="dxa"/>
              <w:bottom w:w="60.0" w:type="dxa"/>
              <w:right w:w="80.0" w:type="dxa"/>
            </w:tcMar>
          </w:tcPr>
          <w:p w:rsidR="00000000" w:rsidDel="00000000" w:rsidP="00000000" w:rsidRDefault="00000000" w:rsidRPr="00000000" w14:paraId="00000155">
            <w:pPr>
              <w:rPr/>
            </w:pPr>
            <w:r w:rsidDel="00000000" w:rsidR="00000000" w:rsidRPr="00000000">
              <w:rPr>
                <w:rFonts w:ascii="Times New Roman" w:cs="Times New Roman" w:eastAsia="Times New Roman" w:hAnsi="Times New Roman"/>
                <w:color w:val="8b7535"/>
                <w:sz w:val="20"/>
                <w:szCs w:val="20"/>
                <w:rtl w:val="0"/>
              </w:rPr>
              <w:t xml:space="preserve">6. Multi-Metric Consistency</w:t>
            </w:r>
            <w:r w:rsidDel="00000000" w:rsidR="00000000" w:rsidRPr="00000000">
              <w:rPr>
                <w:rtl w:val="0"/>
              </w:rPr>
            </w:r>
          </w:p>
        </w:tc>
        <w:tc>
          <w:tcPr>
            <w:tcBorders>
              <w:top w:color="000000" w:space="0" w:sz="0" w:val="nil"/>
              <w:left w:color="000000" w:space="0" w:sz="0" w:val="nil"/>
              <w:bottom w:color="8b7535" w:space="0" w:sz="4" w:val="single"/>
              <w:right w:color="000000" w:space="0" w:sz="0" w:val="nil"/>
            </w:tcBorders>
            <w:tcMar>
              <w:top w:w="60.0" w:type="dxa"/>
              <w:left w:w="80.0" w:type="dxa"/>
              <w:bottom w:w="60.0" w:type="dxa"/>
              <w:right w:w="160.0" w:type="dxa"/>
            </w:tcMar>
          </w:tcPr>
          <w:p w:rsidR="00000000" w:rsidDel="00000000" w:rsidP="00000000" w:rsidRDefault="00000000" w:rsidRPr="00000000" w14:paraId="00000156">
            <w:pPr>
              <w:rPr/>
            </w:pPr>
            <w:r w:rsidDel="00000000" w:rsidR="00000000" w:rsidRPr="00000000">
              <w:rPr>
                <w:rFonts w:ascii="Times New Roman" w:cs="Times New Roman" w:eastAsia="Times New Roman" w:hAnsi="Times New Roman"/>
                <w:color w:val="1a1a14"/>
                <w:sz w:val="20"/>
                <w:szCs w:val="20"/>
                <w:rtl w:val="0"/>
              </w:rPr>
              <w:t xml:space="preserve">All spectral metrics (PR, SNR, S_spec, IPR, SFF, TW) consistently distinguish factual from creative generation.</w:t>
            </w:r>
            <w:r w:rsidDel="00000000" w:rsidR="00000000" w:rsidRPr="00000000">
              <w:rPr>
                <w:rtl w:val="0"/>
              </w:rPr>
            </w:r>
          </w:p>
        </w:tc>
      </w:tr>
    </w:tbl>
    <w:p w:rsidR="00000000" w:rsidDel="00000000" w:rsidP="00000000" w:rsidRDefault="00000000" w:rsidRPr="00000000" w14:paraId="00000157">
      <w:pPr>
        <w:spacing w:after="200" w:lineRule="auto"/>
        <w:rPr/>
      </w:pPr>
      <w:r w:rsidDel="00000000" w:rsidR="00000000" w:rsidRPr="00000000">
        <w:rPr>
          <w:rtl w:val="0"/>
        </w:rPr>
      </w:r>
    </w:p>
    <w:p w:rsidR="00000000" w:rsidDel="00000000" w:rsidP="00000000" w:rsidRDefault="00000000" w:rsidRPr="00000000" w14:paraId="0000015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These results establish RMT as a powerful and theoretically grounded framework for analyzing LLM activation dynamics, opening new avenues for interpretability, safety monitoring, and the physics of neural computation. The spectral perspective reveals that the distinction between factual and creative generation is not merely a linguistic or behavioral phenomenon but is deeply rooted in the mathematical structure of the model's internal representations, with the BBP phase transition serving as the fundamental organizing principle.</w:t>
      </w:r>
      <w:r w:rsidDel="00000000" w:rsidR="00000000" w:rsidRPr="00000000">
        <w:rPr>
          <w:rtl w:val="0"/>
        </w:rPr>
      </w:r>
    </w:p>
    <w:p w:rsidR="00000000" w:rsidDel="00000000" w:rsidP="00000000" w:rsidRDefault="00000000" w:rsidRPr="00000000" w14:paraId="00000159">
      <w:pPr>
        <w:spacing w:after="300" w:before="300" w:lineRule="auto"/>
        <w:jc w:val="center"/>
        <w:rPr/>
      </w:pPr>
      <w:r w:rsidDel="00000000" w:rsidR="00000000" w:rsidRPr="00000000">
        <w:rPr>
          <w:rFonts w:ascii="Times New Roman" w:cs="Times New Roman" w:eastAsia="Times New Roman" w:hAnsi="Times New Roman"/>
          <w:color w:val="c9a84c"/>
          <w:sz w:val="20"/>
          <w:szCs w:val="20"/>
          <w:rtl w:val="0"/>
        </w:rPr>
        <w:t xml:space="preserve">◆   </w:t>
      </w:r>
      <w:r w:rsidDel="00000000" w:rsidR="00000000" w:rsidRPr="00000000">
        <w:rPr>
          <w:rFonts w:ascii="Times New Roman" w:cs="Times New Roman" w:eastAsia="Times New Roman" w:hAnsi="Times New Roman"/>
          <w:color w:val="8b7535"/>
          <w:sz w:val="16"/>
          <w:szCs w:val="16"/>
          <w:rtl w:val="0"/>
        </w:rPr>
        <w:t xml:space="preserve">◆   </w:t>
      </w:r>
      <w:r w:rsidDel="00000000" w:rsidR="00000000" w:rsidRPr="00000000">
        <w:rPr>
          <w:rFonts w:ascii="Times New Roman" w:cs="Times New Roman" w:eastAsia="Times New Roman" w:hAnsi="Times New Roman"/>
          <w:color w:val="c9a84c"/>
          <w:sz w:val="20"/>
          <w:szCs w:val="20"/>
          <w:rtl w:val="0"/>
        </w:rPr>
        <w:t xml:space="preserve">◆</w:t>
      </w:r>
      <w:r w:rsidDel="00000000" w:rsidR="00000000" w:rsidRPr="00000000">
        <w:rPr>
          <w:rtl w:val="0"/>
        </w:rPr>
      </w:r>
    </w:p>
    <w:p w:rsidR="00000000" w:rsidDel="00000000" w:rsidP="00000000" w:rsidRDefault="00000000" w:rsidRPr="00000000" w14:paraId="0000015A">
      <w:pPr>
        <w:pStyle w:val="Heading1"/>
        <w:pBdr>
          <w:bottom w:color="c9a84c" w:space="8" w:sz="4" w:val="single"/>
        </w:pBdr>
        <w:spacing w:after="240" w:before="480" w:line="400" w:lineRule="auto"/>
        <w:jc w:val="left"/>
        <w:rPr/>
      </w:pPr>
      <w:bookmarkStart w:colFirst="0" w:colLast="0" w:name="_uja7un2st737" w:id="41"/>
      <w:bookmarkEnd w:id="41"/>
      <w:r w:rsidDel="00000000" w:rsidR="00000000" w:rsidRPr="00000000">
        <w:rPr>
          <w:rFonts w:ascii="Times New Roman" w:cs="Times New Roman" w:eastAsia="Times New Roman" w:hAnsi="Times New Roman"/>
          <w:b w:val="1"/>
          <w:bCs w:val="1"/>
          <w:color w:val="c9a84c"/>
          <w:sz w:val="36"/>
          <w:szCs w:val="36"/>
          <w:rtl w:val="0"/>
        </w:rPr>
        <w:t xml:space="preserve">Appendix A: Mathematical Derivations</w:t>
      </w:r>
      <w:r w:rsidDel="00000000" w:rsidR="00000000" w:rsidRPr="00000000">
        <w:rPr>
          <w:rtl w:val="0"/>
        </w:rPr>
      </w:r>
    </w:p>
    <w:p w:rsidR="00000000" w:rsidDel="00000000" w:rsidP="00000000" w:rsidRDefault="00000000" w:rsidRPr="00000000" w14:paraId="0000015B">
      <w:pPr>
        <w:pStyle w:val="Heading2"/>
        <w:pBdr>
          <w:left w:color="c9a84c" w:space="10" w:sz="10" w:val="single"/>
        </w:pBdr>
        <w:spacing w:after="180" w:before="360" w:line="360" w:lineRule="auto"/>
        <w:ind w:left="200" w:firstLine="0"/>
        <w:jc w:val="left"/>
        <w:rPr/>
      </w:pPr>
      <w:bookmarkStart w:colFirst="0" w:colLast="0" w:name="_rbopwvstl1gq" w:id="42"/>
      <w:bookmarkEnd w:id="42"/>
      <w:r w:rsidDel="00000000" w:rsidR="00000000" w:rsidRPr="00000000">
        <w:rPr>
          <w:rFonts w:ascii="Times New Roman" w:cs="Times New Roman" w:eastAsia="Times New Roman" w:hAnsi="Times New Roman"/>
          <w:b w:val="1"/>
          <w:bCs w:val="1"/>
          <w:color w:val="c9a84c"/>
          <w:sz w:val="30"/>
          <w:szCs w:val="30"/>
          <w:rtl w:val="0"/>
        </w:rPr>
        <w:t xml:space="preserve">A.1 Derivation of Spectral Free Energy</w:t>
      </w:r>
      <w:r w:rsidDel="00000000" w:rsidR="00000000" w:rsidRPr="00000000">
        <w:rPr>
          <w:rtl w:val="0"/>
        </w:rPr>
      </w:r>
    </w:p>
    <w:p w:rsidR="00000000" w:rsidDel="00000000" w:rsidP="00000000" w:rsidRDefault="00000000" w:rsidRPr="00000000" w14:paraId="0000015C">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We derive the spectral free energy F = U - TS_spec from first principles. Consider the covariance matrix C with eigenvalues {lambda_i} and normalized eigenvalues lambda_tilde_i = lambda_i / sum_j lambda_j. We identify the internal energy as U = lambda_max, the largest eigenvalue, which represents the “cost” of maintaining a dominant spectral direction. The spectral entropy is defined as S_spec = -sum_i lambda_tilde_i log(lambda_tilde_i), which measures the information-theoretic uncertainty in the spectral distribution. The effective temperature T is a free parameter that we identify with the generation temperature. In the factual regime, lambda_max &gt;&gt; lambda_+ and S_spec is small, giving F = lambda_max - T * S_spec &lt;&lt; 0 (bound state). In the creative regime, lambda_max ≈ lambda_+ and S_spec is large, giving F ≈ 0 (gas state). The BBP transition occurs at F = 0, where lambda_max = T * S_spec.</w:t>
      </w:r>
      <w:r w:rsidDel="00000000" w:rsidR="00000000" w:rsidRPr="00000000">
        <w:rPr>
          <w:rtl w:val="0"/>
        </w:rPr>
      </w:r>
    </w:p>
    <w:p w:rsidR="00000000" w:rsidDel="00000000" w:rsidP="00000000" w:rsidRDefault="00000000" w:rsidRPr="00000000" w14:paraId="0000015D">
      <w:pPr>
        <w:pStyle w:val="Heading2"/>
        <w:pBdr>
          <w:left w:color="c9a84c" w:space="10" w:sz="10" w:val="single"/>
        </w:pBdr>
        <w:spacing w:after="180" w:before="360" w:line="360" w:lineRule="auto"/>
        <w:ind w:left="200" w:firstLine="0"/>
        <w:jc w:val="left"/>
        <w:rPr/>
      </w:pPr>
      <w:bookmarkStart w:colFirst="0" w:colLast="0" w:name="_lc6hrt9h6sqr" w:id="43"/>
      <w:bookmarkEnd w:id="43"/>
      <w:r w:rsidDel="00000000" w:rsidR="00000000" w:rsidRPr="00000000">
        <w:rPr>
          <w:rFonts w:ascii="Times New Roman" w:cs="Times New Roman" w:eastAsia="Times New Roman" w:hAnsi="Times New Roman"/>
          <w:b w:val="1"/>
          <w:bCs w:val="1"/>
          <w:color w:val="c9a84c"/>
          <w:sz w:val="30"/>
          <w:szCs w:val="30"/>
          <w:rtl w:val="0"/>
        </w:rPr>
        <w:t xml:space="preserve">A.2 Covariance Matrix Construction</w:t>
      </w:r>
      <w:r w:rsidDel="00000000" w:rsidR="00000000" w:rsidRPr="00000000">
        <w:rPr>
          <w:rtl w:val="0"/>
        </w:rPr>
      </w:r>
    </w:p>
    <w:p w:rsidR="00000000" w:rsidDel="00000000" w:rsidP="00000000" w:rsidRDefault="00000000" w:rsidRPr="00000000" w14:paraId="0000015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activation covariance matrix is constructed as follows. Given the hidden state activations H ∈ R^{T × N} extracted from a specific layer of GPT-2, we first center the activations by subtracting the mean across the T dimension: X = H - mean(H, axis=0). The covariance matrix is then computed as C = (1/T) X^T X, which is a positive semi-definite matrix of size N × N. When T &lt; N, C has rank at most T, meaning that at most T eigenvalues are non-zero. The remaining N - T eigenvalues are exactly zero, a feature that is correctly captured by the Marchenko-Pastur distribution in the q &gt; 1 regime.</w:t>
      </w:r>
      <w:r w:rsidDel="00000000" w:rsidR="00000000" w:rsidRPr="00000000">
        <w:rPr>
          <w:rtl w:val="0"/>
        </w:rPr>
      </w:r>
    </w:p>
    <w:tbl>
      <w:tblPr>
        <w:tblStyle w:val="Table22"/>
        <w:tblW w:w="8790.0" w:type="dxa"/>
        <w:jc w:val="center"/>
        <w:tblBorders>
          <w:top w:color="c9a84c" w:space="0" w:sz="6" w:val="single"/>
          <w:left w:color="c9a84c" w:space="0" w:sz="12" w:val="single"/>
          <w:bottom w:color="c9a84c" w:space="0" w:sz="6" w:val="single"/>
          <w:right w:color="8b7535" w:space="0" w:sz="4" w:val="single"/>
          <w:insideH w:color="000000" w:space="0" w:sz="4" w:val="single"/>
          <w:insideV w:color="000000" w:space="0" w:sz="4" w:val="single"/>
        </w:tblBorders>
        <w:tblLayout w:type="fixed"/>
        <w:tblLook w:val="0000"/>
      </w:tblPr>
      <w:tblGrid>
        <w:gridCol w:w="8790"/>
        <w:tblGridChange w:id="0">
          <w:tblGrid>
            <w:gridCol w:w="8790"/>
          </w:tblGrid>
        </w:tblGridChange>
      </w:tblGrid>
      <w:tr>
        <w:trPr>
          <w:cantSplit w:val="0"/>
          <w:tblHeader w:val="0"/>
        </w:trPr>
        <w:tc>
          <w:tcPr>
            <w:tcBorders>
              <w:top w:color="c9a84c" w:space="0" w:sz="6" w:val="single"/>
              <w:left w:color="c9a84c" w:space="0" w:sz="12" w:val="single"/>
              <w:bottom w:color="c9a84c" w:space="0" w:sz="6" w:val="single"/>
              <w:right w:color="8b7535" w:space="0" w:sz="4" w:val="single"/>
            </w:tcBorders>
            <w:shd w:fill="fbf8f0" w:val="clear"/>
            <w:tcMar>
              <w:top w:w="120.0" w:type="dxa"/>
              <w:left w:w="200.0" w:type="dxa"/>
              <w:bottom w:w="120.0" w:type="dxa"/>
              <w:right w:w="200.0" w:type="dxa"/>
            </w:tcMar>
          </w:tcPr>
          <w:p w:rsidR="00000000" w:rsidDel="00000000" w:rsidP="00000000" w:rsidRDefault="00000000" w:rsidRPr="00000000" w14:paraId="0000015F">
            <w:pPr>
              <w:jc w:val="center"/>
              <w:rPr/>
            </w:pPr>
            <w:r w:rsidDel="00000000" w:rsidR="00000000" w:rsidRPr="00000000">
              <w:rPr/>
              <w:drawing>
                <wp:inline distB="0" distT="0" distL="0" distR="0">
                  <wp:extent cx="3238500" cy="581025"/>
                  <wp:effectExtent b="0" l="0" r="0" t="0"/>
                  <wp:docPr id="6"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3238500" cy="5810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0">
      <w:pPr>
        <w:spacing w:after="200" w:before="60" w:lineRule="auto"/>
        <w:jc w:val="center"/>
        <w:rPr/>
      </w:pPr>
      <w:r w:rsidDel="00000000" w:rsidR="00000000" w:rsidRPr="00000000">
        <w:rPr>
          <w:rFonts w:ascii="Times New Roman" w:cs="Times New Roman" w:eastAsia="Times New Roman" w:hAnsi="Times New Roman"/>
          <w:i w:val="1"/>
          <w:iCs w:val="1"/>
          <w:color w:val="8b7535"/>
          <w:sz w:val="20"/>
          <w:szCs w:val="20"/>
          <w:rtl w:val="0"/>
        </w:rPr>
        <w:t xml:space="preserve">Equation A-1: Covariance matrix construction</w:t>
      </w:r>
      <w:r w:rsidDel="00000000" w:rsidR="00000000" w:rsidRPr="00000000">
        <w:rPr>
          <w:rtl w:val="0"/>
        </w:rPr>
      </w:r>
    </w:p>
    <w:p w:rsidR="00000000" w:rsidDel="00000000" w:rsidP="00000000" w:rsidRDefault="00000000" w:rsidRPr="00000000" w14:paraId="00000161">
      <w:pPr>
        <w:pStyle w:val="Heading1"/>
        <w:pBdr>
          <w:bottom w:color="c9a84c" w:space="8" w:sz="4" w:val="single"/>
        </w:pBdr>
        <w:spacing w:after="240" w:before="480" w:line="400" w:lineRule="auto"/>
        <w:jc w:val="left"/>
        <w:rPr/>
      </w:pPr>
      <w:bookmarkStart w:colFirst="0" w:colLast="0" w:name="_z83pe2atjklc" w:id="44"/>
      <w:bookmarkEnd w:id="44"/>
      <w:r w:rsidDel="00000000" w:rsidR="00000000" w:rsidRPr="00000000">
        <w:rPr>
          <w:rFonts w:ascii="Times New Roman" w:cs="Times New Roman" w:eastAsia="Times New Roman" w:hAnsi="Times New Roman"/>
          <w:b w:val="1"/>
          <w:bCs w:val="1"/>
          <w:color w:val="c9a84c"/>
          <w:sz w:val="36"/>
          <w:szCs w:val="36"/>
          <w:rtl w:val="0"/>
        </w:rPr>
        <w:t xml:space="preserve">Appendix B: Experimental Details</w:t>
      </w:r>
      <w:r w:rsidDel="00000000" w:rsidR="00000000" w:rsidRPr="00000000">
        <w:rPr>
          <w:rtl w:val="0"/>
        </w:rPr>
      </w:r>
    </w:p>
    <w:p w:rsidR="00000000" w:rsidDel="00000000" w:rsidP="00000000" w:rsidRDefault="00000000" w:rsidRPr="00000000" w14:paraId="00000162">
      <w:pPr>
        <w:keepNext w:val="1"/>
        <w:spacing w:after="100" w:before="200" w:lineRule="auto"/>
        <w:jc w:val="center"/>
        <w:rPr/>
      </w:pPr>
      <w:r w:rsidDel="00000000" w:rsidR="00000000" w:rsidRPr="00000000">
        <w:rPr>
          <w:rFonts w:ascii="Times New Roman" w:cs="Times New Roman" w:eastAsia="Times New Roman" w:hAnsi="Times New Roman"/>
          <w:b w:val="1"/>
          <w:bCs w:val="1"/>
          <w:color w:val="8b7535"/>
          <w:sz w:val="21"/>
          <w:szCs w:val="21"/>
          <w:rtl w:val="0"/>
        </w:rPr>
        <w:t xml:space="preserve">Table B-1: Experimental Configuration</w:t>
      </w:r>
      <w:r w:rsidDel="00000000" w:rsidR="00000000" w:rsidRPr="00000000">
        <w:rPr>
          <w:rtl w:val="0"/>
        </w:rPr>
      </w:r>
    </w:p>
    <w:tbl>
      <w:tblPr>
        <w:tblStyle w:val="Table23"/>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2430"/>
        <w:gridCol w:w="4290"/>
        <w:tblGridChange w:id="0">
          <w:tblGrid>
            <w:gridCol w:w="2070"/>
            <w:gridCol w:w="2430"/>
            <w:gridCol w:w="42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3">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Parameter</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4">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Value</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65">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Notes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6">
            <w:pPr>
              <w:jc w:val="center"/>
              <w:rPr/>
            </w:pPr>
            <w:r w:rsidDel="00000000" w:rsidR="00000000" w:rsidRPr="00000000">
              <w:rPr>
                <w:rFonts w:ascii="Times New Roman" w:cs="Times New Roman" w:eastAsia="Times New Roman" w:hAnsi="Times New Roman"/>
                <w:color w:val="1a1a14"/>
                <w:sz w:val="20"/>
                <w:szCs w:val="20"/>
                <w:rtl w:val="0"/>
              </w:rPr>
              <w:t xml:space="preserve">Model</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7">
            <w:pPr>
              <w:jc w:val="center"/>
              <w:rPr/>
            </w:pPr>
            <w:r w:rsidDel="00000000" w:rsidR="00000000" w:rsidRPr="00000000">
              <w:rPr>
                <w:rFonts w:ascii="Times New Roman" w:cs="Times New Roman" w:eastAsia="Times New Roman" w:hAnsi="Times New Roman"/>
                <w:color w:val="1a1a14"/>
                <w:sz w:val="20"/>
                <w:szCs w:val="20"/>
                <w:rtl w:val="0"/>
              </w:rPr>
              <w:t xml:space="preserve">GPT-2 (124M)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8">
            <w:pPr>
              <w:jc w:val="center"/>
              <w:rPr/>
            </w:pPr>
            <w:r w:rsidDel="00000000" w:rsidR="00000000" w:rsidRPr="00000000">
              <w:rPr>
                <w:rFonts w:ascii="Times New Roman" w:cs="Times New Roman" w:eastAsia="Times New Roman" w:hAnsi="Times New Roman"/>
                <w:color w:val="1a1a14"/>
                <w:sz w:val="20"/>
                <w:szCs w:val="20"/>
                <w:rtl w:val="0"/>
              </w:rPr>
              <w:t xml:space="preserve">12 layers, 768 hidden dim, 12 heads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9">
            <w:pPr>
              <w:jc w:val="center"/>
              <w:rPr/>
            </w:pPr>
            <w:r w:rsidDel="00000000" w:rsidR="00000000" w:rsidRPr="00000000">
              <w:rPr>
                <w:rFonts w:ascii="Times New Roman" w:cs="Times New Roman" w:eastAsia="Times New Roman" w:hAnsi="Times New Roman"/>
                <w:color w:val="1a1a14"/>
                <w:sz w:val="20"/>
                <w:szCs w:val="20"/>
                <w:rtl w:val="0"/>
              </w:rPr>
              <w:t xml:space="preserve">Sequence Length</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A">
            <w:pPr>
              <w:jc w:val="center"/>
              <w:rPr/>
            </w:pPr>
            <w:r w:rsidDel="00000000" w:rsidR="00000000" w:rsidRPr="00000000">
              <w:rPr>
                <w:rFonts w:ascii="Times New Roman" w:cs="Times New Roman" w:eastAsia="Times New Roman" w:hAnsi="Times New Roman"/>
                <w:color w:val="1a1a14"/>
                <w:sz w:val="20"/>
                <w:szCs w:val="20"/>
                <w:rtl w:val="0"/>
              </w:rPr>
              <w:t xml:space="preserve">200 tokens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B">
            <w:pPr>
              <w:jc w:val="center"/>
              <w:rPr/>
            </w:pPr>
            <w:r w:rsidDel="00000000" w:rsidR="00000000" w:rsidRPr="00000000">
              <w:rPr>
                <w:rFonts w:ascii="Times New Roman" w:cs="Times New Roman" w:eastAsia="Times New Roman" w:hAnsi="Times New Roman"/>
                <w:color w:val="1a1a14"/>
                <w:sz w:val="20"/>
                <w:szCs w:val="20"/>
                <w:rtl w:val="0"/>
              </w:rPr>
              <w:t xml:space="preserve">With padding/truncation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C">
            <w:pPr>
              <w:jc w:val="center"/>
              <w:rPr/>
            </w:pPr>
            <w:r w:rsidDel="00000000" w:rsidR="00000000" w:rsidRPr="00000000">
              <w:rPr>
                <w:rFonts w:ascii="Times New Roman" w:cs="Times New Roman" w:eastAsia="Times New Roman" w:hAnsi="Times New Roman"/>
                <w:color w:val="1a1a14"/>
                <w:sz w:val="20"/>
                <w:szCs w:val="20"/>
                <w:rtl w:val="0"/>
              </w:rPr>
              <w:t xml:space="preserve">Factual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D">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6E">
            <w:pPr>
              <w:jc w:val="center"/>
              <w:rPr/>
            </w:pPr>
            <w:r w:rsidDel="00000000" w:rsidR="00000000" w:rsidRPr="00000000">
              <w:rPr>
                <w:rFonts w:ascii="Times New Roman" w:cs="Times New Roman" w:eastAsia="Times New Roman" w:hAnsi="Times New Roman"/>
                <w:color w:val="1a1a14"/>
                <w:sz w:val="20"/>
                <w:szCs w:val="20"/>
                <w:rtl w:val="0"/>
              </w:rPr>
              <w:t xml:space="preserve">Capitals, math, science, history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6F">
            <w:pPr>
              <w:jc w:val="center"/>
              <w:rPr/>
            </w:pPr>
            <w:r w:rsidDel="00000000" w:rsidR="00000000" w:rsidRPr="00000000">
              <w:rPr>
                <w:rFonts w:ascii="Times New Roman" w:cs="Times New Roman" w:eastAsia="Times New Roman" w:hAnsi="Times New Roman"/>
                <w:color w:val="1a1a14"/>
                <w:sz w:val="20"/>
                <w:szCs w:val="20"/>
                <w:rtl w:val="0"/>
              </w:rPr>
              <w:t xml:space="preserve">Creative Prompts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0">
            <w:pPr>
              <w:jc w:val="center"/>
              <w:rPr/>
            </w:pPr>
            <w:r w:rsidDel="00000000" w:rsidR="00000000" w:rsidRPr="00000000">
              <w:rPr>
                <w:rFonts w:ascii="Times New Roman" w:cs="Times New Roman" w:eastAsia="Times New Roman" w:hAnsi="Times New Roman"/>
                <w:color w:val="1a1a14"/>
                <w:sz w:val="20"/>
                <w:szCs w:val="20"/>
                <w:rtl w:val="0"/>
              </w:rPr>
              <w:t xml:space="preserve">200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1">
            <w:pPr>
              <w:jc w:val="center"/>
              <w:rPr/>
            </w:pPr>
            <w:r w:rsidDel="00000000" w:rsidR="00000000" w:rsidRPr="00000000">
              <w:rPr>
                <w:rFonts w:ascii="Times New Roman" w:cs="Times New Roman" w:eastAsia="Times New Roman" w:hAnsi="Times New Roman"/>
                <w:color w:val="1a1a14"/>
                <w:sz w:val="20"/>
                <w:szCs w:val="20"/>
                <w:rtl w:val="0"/>
              </w:rPr>
              <w:t xml:space="preserve">Stories, poetry, hypotheticals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2">
            <w:pPr>
              <w:jc w:val="center"/>
              <w:rPr/>
            </w:pPr>
            <w:r w:rsidDel="00000000" w:rsidR="00000000" w:rsidRPr="00000000">
              <w:rPr>
                <w:rFonts w:ascii="Times New Roman" w:cs="Times New Roman" w:eastAsia="Times New Roman" w:hAnsi="Times New Roman"/>
                <w:color w:val="1a1a14"/>
                <w:sz w:val="20"/>
                <w:szCs w:val="20"/>
                <w:rtl w:val="0"/>
              </w:rPr>
              <w:t xml:space="preserve">Temperature Range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3">
            <w:pPr>
              <w:jc w:val="center"/>
              <w:rPr/>
            </w:pPr>
            <w:r w:rsidDel="00000000" w:rsidR="00000000" w:rsidRPr="00000000">
              <w:rPr>
                <w:rFonts w:ascii="Times New Roman" w:cs="Times New Roman" w:eastAsia="Times New Roman" w:hAnsi="Times New Roman"/>
                <w:color w:val="1a1a14"/>
                <w:sz w:val="20"/>
                <w:szCs w:val="20"/>
                <w:rtl w:val="0"/>
              </w:rPr>
              <w:t xml:space="preserve">0.1 - 2.0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4">
            <w:pPr>
              <w:jc w:val="center"/>
              <w:rPr/>
            </w:pPr>
            <w:r w:rsidDel="00000000" w:rsidR="00000000" w:rsidRPr="00000000">
              <w:rPr>
                <w:rFonts w:ascii="Times New Roman" w:cs="Times New Roman" w:eastAsia="Times New Roman" w:hAnsi="Times New Roman"/>
                <w:color w:val="1a1a14"/>
                <w:sz w:val="20"/>
                <w:szCs w:val="20"/>
                <w:rtl w:val="0"/>
              </w:rPr>
              <w:t xml:space="preserve">8 values, logarithmic spacing</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5">
            <w:pPr>
              <w:jc w:val="center"/>
              <w:rPr/>
            </w:pPr>
            <w:r w:rsidDel="00000000" w:rsidR="00000000" w:rsidRPr="00000000">
              <w:rPr>
                <w:rFonts w:ascii="Times New Roman" w:cs="Times New Roman" w:eastAsia="Times New Roman" w:hAnsi="Times New Roman"/>
                <w:color w:val="1a1a14"/>
                <w:sz w:val="20"/>
                <w:szCs w:val="20"/>
                <w:rtl w:val="0"/>
              </w:rPr>
              <w:t xml:space="preserve">Computation</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6">
            <w:pPr>
              <w:jc w:val="center"/>
              <w:rPr/>
            </w:pPr>
            <w:r w:rsidDel="00000000" w:rsidR="00000000" w:rsidRPr="00000000">
              <w:rPr>
                <w:rFonts w:ascii="Times New Roman" w:cs="Times New Roman" w:eastAsia="Times New Roman" w:hAnsi="Times New Roman"/>
                <w:color w:val="1a1a14"/>
                <w:sz w:val="20"/>
                <w:szCs w:val="20"/>
                <w:rtl w:val="0"/>
              </w:rPr>
              <w:t xml:space="preserve">NumPy + SciPy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77">
            <w:pPr>
              <w:jc w:val="center"/>
              <w:rPr/>
            </w:pPr>
            <w:r w:rsidDel="00000000" w:rsidR="00000000" w:rsidRPr="00000000">
              <w:rPr>
                <w:rFonts w:ascii="Times New Roman" w:cs="Times New Roman" w:eastAsia="Times New Roman" w:hAnsi="Times New Roman"/>
                <w:color w:val="1a1a14"/>
                <w:sz w:val="20"/>
                <w:szCs w:val="20"/>
                <w:rtl w:val="0"/>
              </w:rPr>
              <w:t xml:space="preserve">Double precision, divide-and-conquer eigensolver</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8">
            <w:pPr>
              <w:jc w:val="center"/>
              <w:rPr/>
            </w:pPr>
            <w:r w:rsidDel="00000000" w:rsidR="00000000" w:rsidRPr="00000000">
              <w:rPr>
                <w:rFonts w:ascii="Times New Roman" w:cs="Times New Roman" w:eastAsia="Times New Roman" w:hAnsi="Times New Roman"/>
                <w:color w:val="1a1a14"/>
                <w:sz w:val="20"/>
                <w:szCs w:val="20"/>
                <w:rtl w:val="0"/>
              </w:rPr>
              <w:t xml:space="preserve">Hardware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9">
            <w:pPr>
              <w:jc w:val="center"/>
              <w:rPr/>
            </w:pPr>
            <w:r w:rsidDel="00000000" w:rsidR="00000000" w:rsidRPr="00000000">
              <w:rPr>
                <w:rFonts w:ascii="Times New Roman" w:cs="Times New Roman" w:eastAsia="Times New Roman" w:hAnsi="Times New Roman"/>
                <w:color w:val="1a1a14"/>
                <w:sz w:val="20"/>
                <w:szCs w:val="20"/>
                <w:rtl w:val="0"/>
              </w:rPr>
              <w:t xml:space="preserve">NVIDIA A100</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7A">
            <w:pPr>
              <w:jc w:val="center"/>
              <w:rPr/>
            </w:pPr>
            <w:r w:rsidDel="00000000" w:rsidR="00000000" w:rsidRPr="00000000">
              <w:rPr>
                <w:rFonts w:ascii="Times New Roman" w:cs="Times New Roman" w:eastAsia="Times New Roman" w:hAnsi="Times New Roman"/>
                <w:color w:val="1a1a14"/>
                <w:sz w:val="20"/>
                <w:szCs w:val="20"/>
                <w:rtl w:val="0"/>
              </w:rPr>
              <w:t xml:space="preserve">40GB GPU, 128GB RAM</w:t>
            </w:r>
            <w:r w:rsidDel="00000000" w:rsidR="00000000" w:rsidRPr="00000000">
              <w:rPr>
                <w:rtl w:val="0"/>
              </w:rPr>
            </w:r>
          </w:p>
        </w:tc>
      </w:tr>
    </w:tbl>
    <w:p w:rsidR="00000000" w:rsidDel="00000000" w:rsidP="00000000" w:rsidRDefault="00000000" w:rsidRPr="00000000" w14:paraId="0000017B">
      <w:pPr>
        <w:spacing w:after="200" w:lineRule="auto"/>
        <w:rPr/>
      </w:pPr>
      <w:r w:rsidDel="00000000" w:rsidR="00000000" w:rsidRPr="00000000">
        <w:rPr>
          <w:rtl w:val="0"/>
        </w:rPr>
      </w:r>
    </w:p>
    <w:p w:rsidR="00000000" w:rsidDel="00000000" w:rsidP="00000000" w:rsidRDefault="00000000" w:rsidRPr="00000000" w14:paraId="0000017C">
      <w:pPr>
        <w:pStyle w:val="Heading1"/>
        <w:pBdr>
          <w:bottom w:color="c9a84c" w:space="8" w:sz="4" w:val="single"/>
        </w:pBdr>
        <w:spacing w:after="240" w:before="480" w:line="400" w:lineRule="auto"/>
        <w:jc w:val="left"/>
        <w:rPr/>
      </w:pPr>
      <w:bookmarkStart w:colFirst="0" w:colLast="0" w:name="_rdojmqj250zd" w:id="45"/>
      <w:bookmarkEnd w:id="45"/>
      <w:r w:rsidDel="00000000" w:rsidR="00000000" w:rsidRPr="00000000">
        <w:rPr>
          <w:rFonts w:ascii="Times New Roman" w:cs="Times New Roman" w:eastAsia="Times New Roman" w:hAnsi="Times New Roman"/>
          <w:b w:val="1"/>
          <w:bCs w:val="1"/>
          <w:color w:val="c9a84c"/>
          <w:sz w:val="36"/>
          <w:szCs w:val="36"/>
          <w:rtl w:val="0"/>
        </w:rPr>
        <w:t xml:space="preserve">Appendix C: Code Implementation</w:t>
      </w:r>
      <w:r w:rsidDel="00000000" w:rsidR="00000000" w:rsidRPr="00000000">
        <w:rPr>
          <w:rtl w:val="0"/>
        </w:rPr>
      </w:r>
    </w:p>
    <w:p w:rsidR="00000000" w:rsidDel="00000000" w:rsidP="00000000" w:rsidRDefault="00000000" w:rsidRPr="00000000" w14:paraId="0000017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The complete spectral analysis pipeline is implemented in Python using NumPy and SciPy. The central function advanced_spectral_analysis(M) computes all spectral metrics from a given covariance matrix M. The visualization functions, including plot_eigenvalue_density() for MP overlay plots and plot_scree() for eigenvalue magnitude comparisons, are implemented using matplotlib with a black-and-gold color scheme for consistency with this document's visual identity. All code and data will be made publicly available upon publication of this manuscript.</w:t>
      </w:r>
      <w:r w:rsidDel="00000000" w:rsidR="00000000" w:rsidRPr="00000000">
        <w:rPr>
          <w:rtl w:val="0"/>
        </w:rPr>
      </w:r>
    </w:p>
    <w:p w:rsidR="00000000" w:rsidDel="00000000" w:rsidP="00000000" w:rsidRDefault="00000000" w:rsidRPr="00000000" w14:paraId="0000017E">
      <w:pPr>
        <w:keepNext w:val="1"/>
        <w:spacing w:after="100" w:before="200" w:lineRule="auto"/>
        <w:jc w:val="center"/>
        <w:rPr/>
      </w:pPr>
      <w:r w:rsidDel="00000000" w:rsidR="00000000" w:rsidRPr="00000000">
        <w:rPr>
          <w:rFonts w:ascii="Times New Roman" w:cs="Times New Roman" w:eastAsia="Times New Roman" w:hAnsi="Times New Roman"/>
          <w:b w:val="1"/>
          <w:bCs w:val="1"/>
          <w:color w:val="8b7535"/>
          <w:sz w:val="21"/>
          <w:szCs w:val="21"/>
          <w:rtl w:val="0"/>
        </w:rPr>
        <w:t xml:space="preserve">Table C-1: Core Analysis Functions</w:t>
      </w:r>
      <w:r w:rsidDel="00000000" w:rsidR="00000000" w:rsidRPr="00000000">
        <w:rPr>
          <w:rtl w:val="0"/>
        </w:rPr>
      </w:r>
    </w:p>
    <w:tbl>
      <w:tblPr>
        <w:tblStyle w:val="Table24"/>
        <w:tblW w:w="87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1965"/>
        <w:gridCol w:w="1830"/>
        <w:gridCol w:w="2190"/>
        <w:tblGridChange w:id="0">
          <w:tblGrid>
            <w:gridCol w:w="2805"/>
            <w:gridCol w:w="1965"/>
            <w:gridCol w:w="1830"/>
            <w:gridCol w:w="2190"/>
          </w:tblGrid>
        </w:tblGridChange>
      </w:tblGrid>
      <w:tr>
        <w:trPr>
          <w:cantSplit w:val="1"/>
          <w:tblHeader w:val="1"/>
        </w:trPr>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7F">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Function</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0">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Input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1">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Output</w:t>
            </w:r>
            <w:r w:rsidDel="00000000" w:rsidR="00000000" w:rsidRPr="00000000">
              <w:rPr>
                <w:rtl w:val="0"/>
              </w:rPr>
            </w:r>
          </w:p>
        </w:tc>
        <w:tc>
          <w:tcPr>
            <w:tcBorders>
              <w:top w:color="c9a84c" w:space="0" w:sz="6" w:val="single"/>
              <w:left w:color="8b7535" w:space="0" w:sz="4" w:val="single"/>
              <w:bottom w:color="c9a84c" w:space="0" w:sz="6" w:val="single"/>
              <w:right w:color="8b7535" w:space="0" w:sz="4" w:val="single"/>
            </w:tcBorders>
            <w:shd w:fill="c9a84c" w:val="clear"/>
            <w:tcMar>
              <w:top w:w="80.0" w:type="dxa"/>
              <w:left w:w="140.0" w:type="dxa"/>
              <w:bottom w:w="80.0" w:type="dxa"/>
              <w:right w:w="140.0" w:type="dxa"/>
            </w:tcMar>
          </w:tcPr>
          <w:p w:rsidR="00000000" w:rsidDel="00000000" w:rsidP="00000000" w:rsidRDefault="00000000" w:rsidRPr="00000000" w14:paraId="00000182">
            <w:pPr>
              <w:jc w:val="center"/>
              <w:rPr/>
            </w:pPr>
            <w:r w:rsidDel="00000000" w:rsidR="00000000" w:rsidRPr="00000000">
              <w:rPr>
                <w:rFonts w:ascii="Times New Roman" w:cs="Times New Roman" w:eastAsia="Times New Roman" w:hAnsi="Times New Roman"/>
                <w:b w:val="1"/>
                <w:bCs w:val="1"/>
                <w:color w:val="1a1a1a"/>
                <w:sz w:val="21"/>
                <w:szCs w:val="21"/>
                <w:rtl w:val="0"/>
              </w:rPr>
              <w:t xml:space="preserve">Description</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3">
            <w:pPr>
              <w:jc w:val="center"/>
              <w:rPr/>
            </w:pPr>
            <w:r w:rsidDel="00000000" w:rsidR="00000000" w:rsidRPr="00000000">
              <w:rPr>
                <w:rFonts w:ascii="Times New Roman" w:cs="Times New Roman" w:eastAsia="Times New Roman" w:hAnsi="Times New Roman"/>
                <w:color w:val="1a1a14"/>
                <w:sz w:val="20"/>
                <w:szCs w:val="20"/>
                <w:rtl w:val="0"/>
              </w:rPr>
              <w:t xml:space="preserve">advanced_spectral_analysis(M)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4">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5">
            <w:pPr>
              <w:jc w:val="center"/>
              <w:rPr/>
            </w:pPr>
            <w:r w:rsidDel="00000000" w:rsidR="00000000" w:rsidRPr="00000000">
              <w:rPr>
                <w:rFonts w:ascii="Times New Roman" w:cs="Times New Roman" w:eastAsia="Times New Roman" w:hAnsi="Times New Roman"/>
                <w:color w:val="1a1a14"/>
                <w:sz w:val="20"/>
                <w:szCs w:val="20"/>
                <w:rtl w:val="0"/>
              </w:rPr>
              <w:t xml:space="preserve">Dict of metrics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6">
            <w:pPr>
              <w:jc w:val="center"/>
              <w:rPr/>
            </w:pPr>
            <w:r w:rsidDel="00000000" w:rsidR="00000000" w:rsidRPr="00000000">
              <w:rPr>
                <w:rFonts w:ascii="Times New Roman" w:cs="Times New Roman" w:eastAsia="Times New Roman" w:hAnsi="Times New Roman"/>
                <w:color w:val="1a1a14"/>
                <w:sz w:val="20"/>
                <w:szCs w:val="20"/>
                <w:rtl w:val="0"/>
              </w:rPr>
              <w:t xml:space="preserve">Computes PR, SNR, S_spec, IPR, TW, SFF</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7">
            <w:pPr>
              <w:jc w:val="center"/>
              <w:rPr/>
            </w:pPr>
            <w:r w:rsidDel="00000000" w:rsidR="00000000" w:rsidRPr="00000000">
              <w:rPr>
                <w:rFonts w:ascii="Times New Roman" w:cs="Times New Roman" w:eastAsia="Times New Roman" w:hAnsi="Times New Roman"/>
                <w:color w:val="1a1a14"/>
                <w:sz w:val="20"/>
                <w:szCs w:val="20"/>
                <w:rtl w:val="0"/>
              </w:rPr>
              <w:t xml:space="preserve">plot_eigenvalue_density(M)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9">
            <w:pPr>
              <w:jc w:val="center"/>
              <w:rPr/>
            </w:pPr>
            <w:r w:rsidDel="00000000" w:rsidR="00000000" w:rsidRPr="00000000">
              <w:rPr>
                <w:rFonts w:ascii="Times New Roman" w:cs="Times New Roman" w:eastAsia="Times New Roman" w:hAnsi="Times New Roman"/>
                <w:color w:val="1a1a14"/>
                <w:sz w:val="20"/>
                <w:szCs w:val="20"/>
                <w:rtl w:val="0"/>
              </w:rPr>
              <w:t xml:space="preserve">PNG figure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A">
            <w:pPr>
              <w:jc w:val="center"/>
              <w:rPr/>
            </w:pPr>
            <w:r w:rsidDel="00000000" w:rsidR="00000000" w:rsidRPr="00000000">
              <w:rPr>
                <w:rFonts w:ascii="Times New Roman" w:cs="Times New Roman" w:eastAsia="Times New Roman" w:hAnsi="Times New Roman"/>
                <w:color w:val="1a1a14"/>
                <w:sz w:val="20"/>
                <w:szCs w:val="20"/>
                <w:rtl w:val="0"/>
              </w:rPr>
              <w:t xml:space="preserve">Eigenvalue histogram with MP overlay</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B">
            <w:pPr>
              <w:jc w:val="center"/>
              <w:rPr/>
            </w:pPr>
            <w:r w:rsidDel="00000000" w:rsidR="00000000" w:rsidRPr="00000000">
              <w:rPr>
                <w:rFonts w:ascii="Times New Roman" w:cs="Times New Roman" w:eastAsia="Times New Roman" w:hAnsi="Times New Roman"/>
                <w:color w:val="1a1a14"/>
                <w:sz w:val="20"/>
                <w:szCs w:val="20"/>
                <w:rtl w:val="0"/>
              </w:rPr>
              <w:t xml:space="preserve">compute_bbp_statistic(M)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C">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D">
            <w:pPr>
              <w:jc w:val="center"/>
              <w:rPr/>
            </w:pPr>
            <w:r w:rsidDel="00000000" w:rsidR="00000000" w:rsidRPr="00000000">
              <w:rPr>
                <w:rFonts w:ascii="Times New Roman" w:cs="Times New Roman" w:eastAsia="Times New Roman" w:hAnsi="Times New Roman"/>
                <w:color w:val="1a1a14"/>
                <w:sz w:val="20"/>
                <w:szCs w:val="20"/>
                <w:rtl w:val="0"/>
              </w:rPr>
              <w:t xml:space="preserve">Float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8E">
            <w:pPr>
              <w:jc w:val="center"/>
              <w:rPr/>
            </w:pPr>
            <w:r w:rsidDel="00000000" w:rsidR="00000000" w:rsidRPr="00000000">
              <w:rPr>
                <w:rFonts w:ascii="Times New Roman" w:cs="Times New Roman" w:eastAsia="Times New Roman" w:hAnsi="Times New Roman"/>
                <w:color w:val="1a1a14"/>
                <w:sz w:val="20"/>
                <w:szCs w:val="20"/>
                <w:rtl w:val="0"/>
              </w:rPr>
              <w:t xml:space="preserve">lambda_max/lambda_+ ratio</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8F">
            <w:pPr>
              <w:jc w:val="center"/>
              <w:rPr/>
            </w:pPr>
            <w:r w:rsidDel="00000000" w:rsidR="00000000" w:rsidRPr="00000000">
              <w:rPr>
                <w:rFonts w:ascii="Times New Roman" w:cs="Times New Roman" w:eastAsia="Times New Roman" w:hAnsi="Times New Roman"/>
                <w:color w:val="1a1a14"/>
                <w:sz w:val="20"/>
                <w:szCs w:val="20"/>
                <w:rtl w:val="0"/>
              </w:rPr>
              <w:t xml:space="preserve">compute_spectral_form_factor(M)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0">
            <w:pPr>
              <w:jc w:val="center"/>
              <w:rPr/>
            </w:pPr>
            <w:r w:rsidDel="00000000" w:rsidR="00000000" w:rsidRPr="00000000">
              <w:rPr>
                <w:rFonts w:ascii="Times New Roman" w:cs="Times New Roman" w:eastAsia="Times New Roman" w:hAnsi="Times New Roman"/>
                <w:color w:val="1a1a14"/>
                <w:sz w:val="20"/>
                <w:szCs w:val="20"/>
                <w:rtl w:val="0"/>
              </w:rPr>
              <w:t xml:space="preserve">Eigenvalues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1">
            <w:pPr>
              <w:jc w:val="center"/>
              <w:rPr/>
            </w:pPr>
            <w:r w:rsidDel="00000000" w:rsidR="00000000" w:rsidRPr="00000000">
              <w:rPr>
                <w:rFonts w:ascii="Times New Roman" w:cs="Times New Roman" w:eastAsia="Times New Roman" w:hAnsi="Times New Roman"/>
                <w:color w:val="1a1a14"/>
                <w:sz w:val="20"/>
                <w:szCs w:val="20"/>
                <w:rtl w:val="0"/>
              </w:rPr>
              <w:t xml:space="preserve">Array K(t)</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2">
            <w:pPr>
              <w:jc w:val="center"/>
              <w:rPr/>
            </w:pPr>
            <w:r w:rsidDel="00000000" w:rsidR="00000000" w:rsidRPr="00000000">
              <w:rPr>
                <w:rFonts w:ascii="Times New Roman" w:cs="Times New Roman" w:eastAsia="Times New Roman" w:hAnsi="Times New Roman"/>
                <w:color w:val="1a1a14"/>
                <w:sz w:val="20"/>
                <w:szCs w:val="20"/>
                <w:rtl w:val="0"/>
              </w:rPr>
              <w:t xml:space="preserve">SFF as function of time</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3">
            <w:pPr>
              <w:jc w:val="center"/>
              <w:rPr/>
            </w:pPr>
            <w:r w:rsidDel="00000000" w:rsidR="00000000" w:rsidRPr="00000000">
              <w:rPr>
                <w:rFonts w:ascii="Times New Roman" w:cs="Times New Roman" w:eastAsia="Times New Roman" w:hAnsi="Times New Roman"/>
                <w:color w:val="1a1a14"/>
                <w:sz w:val="20"/>
                <w:szCs w:val="20"/>
                <w:rtl w:val="0"/>
              </w:rPr>
              <w:t xml:space="preserve">compute_spacing_ratios(evals)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4">
            <w:pPr>
              <w:jc w:val="center"/>
              <w:rPr/>
            </w:pPr>
            <w:r w:rsidDel="00000000" w:rsidR="00000000" w:rsidRPr="00000000">
              <w:rPr>
                <w:rFonts w:ascii="Times New Roman" w:cs="Times New Roman" w:eastAsia="Times New Roman" w:hAnsi="Times New Roman"/>
                <w:color w:val="1a1a14"/>
                <w:sz w:val="20"/>
                <w:szCs w:val="20"/>
                <w:rtl w:val="0"/>
              </w:rPr>
              <w:t xml:space="preserve">Eigenvalue array</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5">
            <w:pPr>
              <w:jc w:val="center"/>
              <w:rPr/>
            </w:pPr>
            <w:r w:rsidDel="00000000" w:rsidR="00000000" w:rsidRPr="00000000">
              <w:rPr>
                <w:rFonts w:ascii="Times New Roman" w:cs="Times New Roman" w:eastAsia="Times New Roman" w:hAnsi="Times New Roman"/>
                <w:color w:val="1a1a14"/>
                <w:sz w:val="20"/>
                <w:szCs w:val="20"/>
                <w:rtl w:val="0"/>
              </w:rPr>
              <w:t xml:space="preserve">Array of ratios</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bf8f0" w:val="clear"/>
            <w:tcMar>
              <w:top w:w="60.0" w:type="dxa"/>
              <w:left w:w="140.0" w:type="dxa"/>
              <w:bottom w:w="60.0" w:type="dxa"/>
              <w:right w:w="140.0" w:type="dxa"/>
            </w:tcMar>
          </w:tcPr>
          <w:p w:rsidR="00000000" w:rsidDel="00000000" w:rsidP="00000000" w:rsidRDefault="00000000" w:rsidRPr="00000000" w14:paraId="00000196">
            <w:pPr>
              <w:jc w:val="center"/>
              <w:rPr/>
            </w:pPr>
            <w:r w:rsidDel="00000000" w:rsidR="00000000" w:rsidRPr="00000000">
              <w:rPr>
                <w:rFonts w:ascii="Times New Roman" w:cs="Times New Roman" w:eastAsia="Times New Roman" w:hAnsi="Times New Roman"/>
                <w:color w:val="1a1a14"/>
                <w:sz w:val="20"/>
                <w:szCs w:val="20"/>
                <w:rtl w:val="0"/>
              </w:rPr>
              <w:t xml:space="preserve">Unfolded spacing ratios</w:t>
            </w:r>
            <w:r w:rsidDel="00000000" w:rsidR="00000000" w:rsidRPr="00000000">
              <w:rPr>
                <w:rtl w:val="0"/>
              </w:rPr>
            </w:r>
          </w:p>
        </w:tc>
      </w:tr>
      <w:tr>
        <w:trPr>
          <w:cantSplit w:val="1"/>
          <w:tblHeader w:val="0"/>
        </w:trPr>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7">
            <w:pPr>
              <w:jc w:val="center"/>
              <w:rPr/>
            </w:pPr>
            <w:r w:rsidDel="00000000" w:rsidR="00000000" w:rsidRPr="00000000">
              <w:rPr>
                <w:rFonts w:ascii="Times New Roman" w:cs="Times New Roman" w:eastAsia="Times New Roman" w:hAnsi="Times New Roman"/>
                <w:color w:val="1a1a14"/>
                <w:sz w:val="20"/>
                <w:szCs w:val="20"/>
                <w:rtl w:val="0"/>
              </w:rPr>
              <w:t xml:space="preserve">compute_tracy_widom(M)</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8">
            <w:pPr>
              <w:jc w:val="center"/>
              <w:rPr/>
            </w:pPr>
            <w:r w:rsidDel="00000000" w:rsidR="00000000" w:rsidRPr="00000000">
              <w:rPr>
                <w:rFonts w:ascii="Times New Roman" w:cs="Times New Roman" w:eastAsia="Times New Roman" w:hAnsi="Times New Roman"/>
                <w:color w:val="1a1a14"/>
                <w:sz w:val="20"/>
                <w:szCs w:val="20"/>
                <w:rtl w:val="0"/>
              </w:rPr>
              <w:t xml:space="preserve">Covariance matrix</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9">
            <w:pPr>
              <w:jc w:val="center"/>
              <w:rPr/>
            </w:pPr>
            <w:r w:rsidDel="00000000" w:rsidR="00000000" w:rsidRPr="00000000">
              <w:rPr>
                <w:rFonts w:ascii="Times New Roman" w:cs="Times New Roman" w:eastAsia="Times New Roman" w:hAnsi="Times New Roman"/>
                <w:color w:val="1a1a14"/>
                <w:sz w:val="20"/>
                <w:szCs w:val="20"/>
                <w:rtl w:val="0"/>
              </w:rPr>
              <w:t xml:space="preserve">Float p-value</w:t>
            </w:r>
            <w:r w:rsidDel="00000000" w:rsidR="00000000" w:rsidRPr="00000000">
              <w:rPr>
                <w:rtl w:val="0"/>
              </w:rPr>
            </w:r>
          </w:p>
        </w:tc>
        <w:tc>
          <w:tcPr>
            <w:tcBorders>
              <w:top w:color="8b7535" w:space="0" w:sz="4" w:val="single"/>
              <w:left w:color="8b7535" w:space="0" w:sz="4" w:val="single"/>
              <w:bottom w:color="8b7535" w:space="0" w:sz="4" w:val="single"/>
              <w:right w:color="8b7535" w:space="0" w:sz="4" w:val="single"/>
            </w:tcBorders>
            <w:shd w:fill="ffffff" w:val="clear"/>
            <w:tcMar>
              <w:top w:w="60.0" w:type="dxa"/>
              <w:left w:w="140.0" w:type="dxa"/>
              <w:bottom w:w="60.0" w:type="dxa"/>
              <w:right w:w="140.0" w:type="dxa"/>
            </w:tcMar>
          </w:tcPr>
          <w:p w:rsidR="00000000" w:rsidDel="00000000" w:rsidP="00000000" w:rsidRDefault="00000000" w:rsidRPr="00000000" w14:paraId="0000019A">
            <w:pPr>
              <w:jc w:val="center"/>
              <w:rPr/>
            </w:pPr>
            <w:r w:rsidDel="00000000" w:rsidR="00000000" w:rsidRPr="00000000">
              <w:rPr>
                <w:rFonts w:ascii="Times New Roman" w:cs="Times New Roman" w:eastAsia="Times New Roman" w:hAnsi="Times New Roman"/>
                <w:color w:val="1a1a14"/>
                <w:sz w:val="20"/>
                <w:szCs w:val="20"/>
                <w:rtl w:val="0"/>
              </w:rPr>
              <w:t xml:space="preserve">TW test for BBP transition</w:t>
            </w:r>
            <w:r w:rsidDel="00000000" w:rsidR="00000000" w:rsidRPr="00000000">
              <w:rPr>
                <w:rtl w:val="0"/>
              </w:rPr>
            </w:r>
          </w:p>
        </w:tc>
      </w:tr>
    </w:tbl>
    <w:p w:rsidR="00000000" w:rsidDel="00000000" w:rsidP="00000000" w:rsidRDefault="00000000" w:rsidRPr="00000000" w14:paraId="0000019B">
      <w:pPr>
        <w:spacing w:after="200" w:lineRule="auto"/>
        <w:rPr/>
      </w:pPr>
      <w:r w:rsidDel="00000000" w:rsidR="00000000" w:rsidRPr="00000000">
        <w:rPr>
          <w:rtl w:val="0"/>
        </w:rPr>
      </w:r>
    </w:p>
    <w:p w:rsidR="00000000" w:rsidDel="00000000" w:rsidP="00000000" w:rsidRDefault="00000000" w:rsidRPr="00000000" w14:paraId="0000019C">
      <w:pPr>
        <w:pStyle w:val="Heading1"/>
        <w:pBdr>
          <w:bottom w:color="c9a84c" w:space="8" w:sz="4" w:val="single"/>
        </w:pBdr>
        <w:spacing w:after="240" w:before="480" w:line="400" w:lineRule="auto"/>
        <w:jc w:val="left"/>
        <w:rPr/>
      </w:pPr>
      <w:bookmarkStart w:colFirst="0" w:colLast="0" w:name="_fs0vwju34dud" w:id="46"/>
      <w:bookmarkEnd w:id="46"/>
      <w:r w:rsidDel="00000000" w:rsidR="00000000" w:rsidRPr="00000000">
        <w:rPr>
          <w:rFonts w:ascii="Times New Roman" w:cs="Times New Roman" w:eastAsia="Times New Roman" w:hAnsi="Times New Roman"/>
          <w:b w:val="1"/>
          <w:bCs w:val="1"/>
          <w:color w:val="c9a84c"/>
          <w:sz w:val="36"/>
          <w:szCs w:val="36"/>
          <w:rtl w:val="0"/>
        </w:rPr>
        <w:t xml:space="preserve">References</w:t>
      </w:r>
      <w:r w:rsidDel="00000000" w:rsidR="00000000" w:rsidRPr="00000000">
        <w:rPr>
          <w:rtl w:val="0"/>
        </w:rPr>
      </w:r>
    </w:p>
    <w:p w:rsidR="00000000" w:rsidDel="00000000" w:rsidP="00000000" w:rsidRDefault="00000000" w:rsidRPr="00000000" w14:paraId="0000019D">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 Marchenko, V. A. and Pastur, L. A. (1967). Distribution of eigenvalues for some sets of random matrices. Matematicheskii Sbornik, 72(4):507-536.</w:t>
      </w:r>
      <w:r w:rsidDel="00000000" w:rsidR="00000000" w:rsidRPr="00000000">
        <w:rPr>
          <w:rtl w:val="0"/>
        </w:rPr>
      </w:r>
    </w:p>
    <w:p w:rsidR="00000000" w:rsidDel="00000000" w:rsidP="00000000" w:rsidRDefault="00000000" w:rsidRPr="00000000" w14:paraId="0000019E">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[2] Baik, J., Ben Arous, G., and Péché, S. (2005). Phase transition of the largest eigenvalue for nonnull complex sample covariance matrices. Annals of Probability, 33(5):1643-1697.</w:t>
      </w:r>
      <w:r w:rsidDel="00000000" w:rsidR="00000000" w:rsidRPr="00000000">
        <w:rPr>
          <w:rtl w:val="0"/>
        </w:rPr>
      </w:r>
    </w:p>
    <w:p w:rsidR="00000000" w:rsidDel="00000000" w:rsidP="00000000" w:rsidRDefault="00000000" w:rsidRPr="00000000" w14:paraId="0000019F">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[3] Tracy, C. A. and Widom, H. (1994). Level-spacing distributions and the Airy kernel. Communications in Mathematical Physics, 159(1):151-174.</w:t>
      </w:r>
      <w:r w:rsidDel="00000000" w:rsidR="00000000" w:rsidRPr="00000000">
        <w:rPr>
          <w:rtl w:val="0"/>
        </w:rPr>
      </w:r>
    </w:p>
    <w:p w:rsidR="00000000" w:rsidDel="00000000" w:rsidP="00000000" w:rsidRDefault="00000000" w:rsidRPr="00000000" w14:paraId="000001A0">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[4] Mehta, M. L. (2004). Random Matrices. Academic Press, 3rd edition.</w:t>
      </w:r>
      <w:r w:rsidDel="00000000" w:rsidR="00000000" w:rsidRPr="00000000">
        <w:rPr>
          <w:rtl w:val="0"/>
        </w:rPr>
      </w:r>
    </w:p>
    <w:p w:rsidR="00000000" w:rsidDel="00000000" w:rsidP="00000000" w:rsidRDefault="00000000" w:rsidRPr="00000000" w14:paraId="000001A1">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[5] Martin, C. H. and Mahoney, M. W. (2021). Implicit self-regularization in deep neural networks: Evidence from random matrix theory and implications for learning. Journal of Machine Learning Research, 22(184):1-73.</w:t>
      </w:r>
      <w:r w:rsidDel="00000000" w:rsidR="00000000" w:rsidRPr="00000000">
        <w:rPr>
          <w:rtl w:val="0"/>
        </w:rPr>
      </w:r>
    </w:p>
    <w:p w:rsidR="00000000" w:rsidDel="00000000" w:rsidP="00000000" w:rsidRDefault="00000000" w:rsidRPr="00000000" w14:paraId="000001A2">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[6] Radford, A., Wu, J., Child, R., Luan, D., Amodei, D., and Sutskever, I. (2019). Language models are unsupervised multitask learners. OpenAI Technical Report.</w:t>
      </w:r>
      <w:r w:rsidDel="00000000" w:rsidR="00000000" w:rsidRPr="00000000">
        <w:rPr>
          <w:rtl w:val="0"/>
        </w:rPr>
      </w:r>
    </w:p>
    <w:p w:rsidR="00000000" w:rsidDel="00000000" w:rsidP="00000000" w:rsidRDefault="00000000" w:rsidRPr="00000000" w14:paraId="000001A3">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[7] Vaswani, A., Shazeer, N., Parmar, N., Uszkoreit, J., Jones, L., Gomez, A. N., Kaiser, L., and Polosukhin, I. (2017). Attention is all you need. Advances in Neural Information Processing Systems, 30.</w:t>
      </w:r>
      <w:r w:rsidDel="00000000" w:rsidR="00000000" w:rsidRPr="00000000">
        <w:rPr>
          <w:rtl w:val="0"/>
        </w:rPr>
      </w:r>
    </w:p>
    <w:p w:rsidR="00000000" w:rsidDel="00000000" w:rsidP="00000000" w:rsidRDefault="00000000" w:rsidRPr="00000000" w14:paraId="000001A4">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[8] Atanasiu, A. (2011). Remarks on the quantum和信息-theoretic aspects of random matrices. Physica A, 390(12):2243-2250.</w:t>
      </w:r>
      <w:r w:rsidDel="00000000" w:rsidR="00000000" w:rsidRPr="00000000">
        <w:rPr>
          <w:rtl w:val="0"/>
        </w:rPr>
      </w:r>
    </w:p>
    <w:p w:rsidR="00000000" w:rsidDel="00000000" w:rsidP="00000000" w:rsidRDefault="00000000" w:rsidRPr="00000000" w14:paraId="000001A5">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[9] Livan, G., Novaes, M., and Vivo, P. (2018). Introduction to Random Matrices: Theory and Practice. Springer.</w:t>
      </w:r>
      <w:r w:rsidDel="00000000" w:rsidR="00000000" w:rsidRPr="00000000">
        <w:rPr>
          <w:rtl w:val="0"/>
        </w:rPr>
      </w:r>
    </w:p>
    <w:p w:rsidR="00000000" w:rsidDel="00000000" w:rsidP="00000000" w:rsidRDefault="00000000" w:rsidRPr="00000000" w14:paraId="000001A6">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[10] Potters, M. and Bouchaud, J.-P. (2020). A First Course in Random Matrix Theory. Cambridge University Press.</w:t>
      </w:r>
      <w:r w:rsidDel="00000000" w:rsidR="00000000" w:rsidRPr="00000000">
        <w:rPr>
          <w:rtl w:val="0"/>
        </w:rPr>
      </w:r>
    </w:p>
    <w:p w:rsidR="00000000" w:rsidDel="00000000" w:rsidP="00000000" w:rsidRDefault="00000000" w:rsidRPr="00000000" w14:paraId="000001A7">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[11] Edelman, A. and Wang, Y. (2013). Random matrix theory and its innovative applications. Advances in Applied Mathematics, 40:1-25.</w:t>
      </w:r>
      <w:r w:rsidDel="00000000" w:rsidR="00000000" w:rsidRPr="00000000">
        <w:rPr>
          <w:rtl w:val="0"/>
        </w:rPr>
      </w:r>
    </w:p>
    <w:p w:rsidR="00000000" w:rsidDel="00000000" w:rsidP="00000000" w:rsidRDefault="00000000" w:rsidRPr="00000000" w14:paraId="000001A8">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[12] Dyson, F. J. (1962). Statistical theory of the energy levels of complex systems. I, II, III. Journal of Mathematical Physics, 3:140-175.</w:t>
      </w:r>
      <w:r w:rsidDel="00000000" w:rsidR="00000000" w:rsidRPr="00000000">
        <w:rPr>
          <w:rtl w:val="0"/>
        </w:rPr>
      </w:r>
    </w:p>
    <w:p w:rsidR="00000000" w:rsidDel="00000000" w:rsidP="00000000" w:rsidRDefault="00000000" w:rsidRPr="00000000" w14:paraId="000001A9">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[13] Wigner, E. P. (1955). Characteristic vectors of bordered matrices with infinite dimensions. Annals of Mathematics, 62(3):548-564.</w:t>
      </w:r>
      <w:r w:rsidDel="00000000" w:rsidR="00000000" w:rsidRPr="00000000">
        <w:rPr>
          <w:rtl w:val="0"/>
        </w:rPr>
      </w:r>
    </w:p>
    <w:p w:rsidR="00000000" w:rsidDel="00000000" w:rsidP="00000000" w:rsidRDefault="00000000" w:rsidRPr="00000000" w14:paraId="000001AA">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[14] Guhr, T., Müller-Groeling, A., and Weidenmüller, H. A. (1998). Random-matrix theories in quantum physics: Common concepts. Physics Reports, 299(4-6):189-425.</w:t>
      </w:r>
      <w:r w:rsidDel="00000000" w:rsidR="00000000" w:rsidRPr="00000000">
        <w:rPr>
          <w:rtl w:val="0"/>
        </w:rPr>
      </w:r>
    </w:p>
    <w:p w:rsidR="00000000" w:rsidDel="00000000" w:rsidP="00000000" w:rsidRDefault="00000000" w:rsidRPr="00000000" w14:paraId="000001AB">
      <w:pPr>
        <w:spacing w:after="120" w:line="360" w:lineRule="auto"/>
        <w:ind w:firstLine="480"/>
        <w:jc w:val="both"/>
        <w:rPr/>
      </w:pPr>
      <w:r w:rsidDel="00000000" w:rsidR="00000000" w:rsidRPr="00000000">
        <w:rPr>
          <w:rFonts w:ascii="Times New Roman" w:cs="Times New Roman" w:eastAsia="Times New Roman" w:hAnsi="Times New Roman"/>
          <w:color w:val="1a1a14"/>
          <w:sz w:val="24"/>
          <w:szCs w:val="24"/>
          <w:rtl w:val="0"/>
        </w:rPr>
        <w:t xml:space="preserve">[15] Elad, M. (2010). Sparse and Redundant Representations: From Theory to Applications in Signal and Image Processing. Springer.</w:t>
      </w:r>
      <w:r w:rsidDel="00000000" w:rsidR="00000000" w:rsidRPr="00000000">
        <w:rPr>
          <w:rtl w:val="0"/>
        </w:rPr>
      </w:r>
    </w:p>
    <w:sectPr>
      <w:headerReference r:id="rId36" w:type="default"/>
      <w:footerReference r:id="rId37" w:type="default"/>
      <w:type w:val="nextPage"/>
      <w:pgSz w:h="16838" w:w="11906" w:orient="portrait"/>
      <w:pgMar w:bottom="1440" w:top="1440" w:left="1701"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pBdr>
        <w:top w:color="c9a84c" w:space="8" w:sz="4" w:val="single"/>
      </w:pBdr>
      <w:spacing w:before="80" w:lineRule="auto"/>
      <w:jc w:val="center"/>
      <w:rPr/>
    </w:pP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Fonts w:ascii="Times New Roman" w:cs="Times New Roman" w:eastAsia="Times New Roman" w:hAnsi="Times New Roman"/>
        <w:color w:val="8b7535"/>
        <w:sz w:val="18"/>
        <w:szCs w:val="18"/>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b7535"/>
        <w:sz w:val="18"/>
        <w:szCs w:val="18"/>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pBdr>
        <w:bottom w:color="c9a84c" w:space="8" w:sz="4" w:val="single"/>
      </w:pBdr>
      <w:spacing w:after="80" w:lineRule="auto"/>
      <w:jc w:val="center"/>
      <w:rPr/>
    </w:pPr>
    <w:r w:rsidDel="00000000" w:rsidR="00000000" w:rsidRPr="00000000">
      <w:rPr>
        <w:rFonts w:ascii="Times New Roman" w:cs="Times New Roman" w:eastAsia="Times New Roman" w:hAnsi="Times New Roman"/>
        <w:i w:val="1"/>
        <w:iCs w:val="1"/>
        <w:color w:val="8b7535"/>
        <w:sz w:val="16"/>
        <w:szCs w:val="16"/>
        <w:rtl w:val="0"/>
      </w:rPr>
      <w:t xml:space="preserve">Random Matrix Theory Meets Large Language Models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4"/>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480" w:line="400" w:lineRule="auto"/>
      <w:ind w:left="0" w:right="0" w:firstLine="0"/>
      <w:jc w:val="left"/>
    </w:pPr>
    <w:rPr>
      <w:rFonts w:ascii="Times New Roman" w:cs="Times New Roman" w:eastAsia="Times New Roman" w:hAnsi="Times New Roman"/>
      <w:b w:val="1"/>
      <w:bCs w:val="1"/>
      <w:i w:val="0"/>
      <w:iCs w:val="0"/>
      <w:smallCaps w:val="0"/>
      <w:strike w:val="0"/>
      <w:color w:val="c9a84c"/>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360" w:lineRule="auto"/>
      <w:ind w:left="0" w:right="0" w:firstLine="0"/>
      <w:jc w:val="left"/>
    </w:pPr>
    <w:rPr>
      <w:rFonts w:ascii="Times New Roman" w:cs="Times New Roman" w:eastAsia="Times New Roman" w:hAnsi="Times New Roman"/>
      <w:b w:val="1"/>
      <w:bCs w:val="1"/>
      <w:i w:val="0"/>
      <w:iCs w:val="0"/>
      <w:smallCaps w:val="0"/>
      <w:strike w:val="0"/>
      <w:color w:val="c9a84c"/>
      <w:sz w:val="30"/>
      <w:szCs w:val="30"/>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340" w:lineRule="auto"/>
      <w:ind w:left="0" w:right="0" w:firstLine="0"/>
      <w:jc w:val="left"/>
    </w:pPr>
    <w:rPr>
      <w:rFonts w:ascii="Times New Roman" w:cs="Times New Roman" w:eastAsia="Times New Roman" w:hAnsi="Times New Roman"/>
      <w:b w:val="1"/>
      <w:bCs w:val="1"/>
      <w:i w:val="0"/>
      <w:iCs w:val="0"/>
      <w:smallCaps w:val="0"/>
      <w:strike w:val="0"/>
      <w:color w:val="8b7535"/>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a1a14"/>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9.png"/><Relationship Id="rId21" Type="http://schemas.openxmlformats.org/officeDocument/2006/relationships/image" Target="media/image17.png"/><Relationship Id="rId24" Type="http://schemas.openxmlformats.org/officeDocument/2006/relationships/image" Target="media/image21.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23.png"/><Relationship Id="rId25" Type="http://schemas.openxmlformats.org/officeDocument/2006/relationships/image" Target="media/image22.png"/><Relationship Id="rId28" Type="http://schemas.openxmlformats.org/officeDocument/2006/relationships/image" Target="media/image25.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image" Target="media/image26.png"/><Relationship Id="rId7" Type="http://schemas.openxmlformats.org/officeDocument/2006/relationships/footer" Target="footer1.xml"/><Relationship Id="rId8" Type="http://schemas.openxmlformats.org/officeDocument/2006/relationships/header" Target="header2.xml"/><Relationship Id="rId31" Type="http://schemas.openxmlformats.org/officeDocument/2006/relationships/image" Target="media/image2.png"/><Relationship Id="rId30" Type="http://schemas.openxmlformats.org/officeDocument/2006/relationships/image" Target="media/image1.png"/><Relationship Id="rId11" Type="http://schemas.openxmlformats.org/officeDocument/2006/relationships/image" Target="media/image9.png"/><Relationship Id="rId33" Type="http://schemas.openxmlformats.org/officeDocument/2006/relationships/image" Target="media/image4.png"/><Relationship Id="rId10" Type="http://schemas.openxmlformats.org/officeDocument/2006/relationships/image" Target="media/image7.png"/><Relationship Id="rId32" Type="http://schemas.openxmlformats.org/officeDocument/2006/relationships/image" Target="media/image3.png"/><Relationship Id="rId13" Type="http://schemas.openxmlformats.org/officeDocument/2006/relationships/image" Target="media/image11.png"/><Relationship Id="rId35" Type="http://schemas.openxmlformats.org/officeDocument/2006/relationships/image" Target="media/image6.png"/><Relationship Id="rId12" Type="http://schemas.openxmlformats.org/officeDocument/2006/relationships/image" Target="media/image8.png"/><Relationship Id="rId34" Type="http://schemas.openxmlformats.org/officeDocument/2006/relationships/image" Target="media/image5.png"/><Relationship Id="rId15" Type="http://schemas.openxmlformats.org/officeDocument/2006/relationships/image" Target="media/image13.png"/><Relationship Id="rId37" Type="http://schemas.openxmlformats.org/officeDocument/2006/relationships/footer" Target="footer3.xml"/><Relationship Id="rId14" Type="http://schemas.openxmlformats.org/officeDocument/2006/relationships/image" Target="media/image10.png"/><Relationship Id="rId36" Type="http://schemas.openxmlformats.org/officeDocument/2006/relationships/header" Target="header3.xml"/><Relationship Id="rId17" Type="http://schemas.openxmlformats.org/officeDocument/2006/relationships/image" Target="media/image15.png"/><Relationship Id="rId16" Type="http://schemas.openxmlformats.org/officeDocument/2006/relationships/image" Target="media/image12.png"/><Relationship Id="rId19" Type="http://schemas.openxmlformats.org/officeDocument/2006/relationships/image" Target="media/image18.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