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RMT-LLM Laboratory — Experiment Report</w:t>
      </w:r>
    </w:p>
    <w:p>
      <w:r>
        <w:t>Generated: 2026-08-13T10:05:59.608244</w:t>
      </w:r>
    </w:p>
    <w:p>
      <w:pPr>
        <w:pStyle w:val="Heading1"/>
      </w:pPr>
      <w:r>
        <w:t>Part I — Detailed Results with Explanations</w:t>
      </w:r>
    </w:p>
    <w:p>
      <w:r>
        <w:t>Experiment: Spectral Signature</w:t>
      </w:r>
    </w:p>
    <w:p>
      <w:r>
        <w:t xml:space="preserve">Scenario: </w:t>
      </w:r>
    </w:p>
    <w:p>
      <w:r>
        <w:t xml:space="preserve">Language:  / Version: </w:t>
      </w:r>
    </w:p>
    <w:p>
      <w:pPr>
        <w:pStyle w:val="Heading2"/>
      </w:pPr>
      <w:r>
        <w:t>Key Metrics</w:t>
      </w:r>
    </w:p>
    <w:p>
      <w:r>
        <w:rPr>
          <w:b/>
        </w:rPr>
        <w:t xml:space="preserve">n_layers_analyzed: </w:t>
      </w:r>
      <w:r>
        <w:t>4</w:t>
      </w:r>
    </w:p>
    <w:p>
      <w:r>
        <w:rPr>
          <w:b/>
        </w:rPr>
        <w:t xml:space="preserve">max_lambda_max: </w:t>
      </w:r>
      <w:r>
        <w:t>0.012519393000410352</w:t>
      </w:r>
    </w:p>
    <w:p>
      <w:r>
        <w:rPr>
          <w:b/>
        </w:rPr>
        <w:t xml:space="preserve">min_lambda_min: </w:t>
      </w:r>
      <w:r>
        <w:t>0.00017214117106267862</w:t>
      </w:r>
    </w:p>
    <w:p>
      <w:r>
        <w:rPr>
          <w:b/>
        </w:rPr>
        <w:t xml:space="preserve">mean_spectral_gap: </w:t>
      </w:r>
      <w:r>
        <w:t>0.005858584940683028</w:t>
      </w:r>
    </w:p>
    <w:p>
      <w:pPr>
        <w:pStyle w:val="Heading2"/>
      </w:pPr>
      <w:r>
        <w:t>RMT Spectral Analysis</w:t>
      </w:r>
    </w:p>
    <w:p>
      <w:pPr>
        <w:pStyle w:val="Heading2"/>
      </w:pPr>
      <w:r>
        <w:t>Interpretation</w:t>
      </w:r>
    </w:p>
    <w:p>
      <w:r>
        <w:t>The Marchenko-Pastur (MP) law describes the bulk distribution of eigenvalues of large random covariance matrices. When the largest empirical eigenvalue exceeds the MP upper bound, this signals structured (non-random) information — i.e. the model has 'detected' a fact. Below the N_crit threshold the model can still self-correct; above it, the Caputo fractional dynamics dominate and the model enters the 'utility trap' described in the project's main monograph.</w:t>
      </w:r>
    </w:p>
    <w:p>
      <w:pPr>
        <w:pStyle w:val="Heading1"/>
      </w:pPr>
      <w:r>
        <w:t>Part II — Full Task Launch 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