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43C319" w14:textId="77777777" w:rsidR="00554C13" w:rsidRDefault="00000000">
      <w:pPr>
        <w:pStyle w:val="Heading1"/>
      </w:pPr>
      <w:r>
        <w:t>Proposal: Multi-Stage and Multi-Target Data Selection Harness for Medical Foundation Models</w:t>
      </w:r>
    </w:p>
    <w:p w14:paraId="087D38EE" w14:textId="77777777" w:rsidR="00003743" w:rsidRDefault="00003743">
      <w:pPr>
        <w:rPr>
          <w:b/>
        </w:rPr>
      </w:pPr>
    </w:p>
    <w:p w14:paraId="3ECEB080" w14:textId="0C9216B0" w:rsidR="007369E7" w:rsidRDefault="00000000">
      <w:r>
        <w:rPr>
          <w:b/>
        </w:rPr>
        <w:t>Background</w:t>
      </w:r>
      <w:r>
        <w:rPr>
          <w:b/>
        </w:rPr>
        <w:br/>
      </w:r>
      <w:r>
        <w:t>Modern medical foundation models are trained through multiple stages, including continued pretraining (CPT), supervised fine-tuning (SFT), and preference optimization (DPO/RLHF)</w:t>
      </w:r>
      <w:r w:rsidR="003D1335">
        <w:t xml:space="preserve"> [2]</w:t>
      </w:r>
      <w:r>
        <w:t>. Existing data selection methods generally optimize a single training stage or a single objective such as downstream accuracy</w:t>
      </w:r>
      <w:r w:rsidR="003D1335">
        <w:t xml:space="preserve"> [1,3,4,5]</w:t>
      </w:r>
      <w:r>
        <w:t xml:space="preserve">. </w:t>
      </w:r>
      <w:r w:rsidR="00371E3F">
        <w:t>Moreover, t</w:t>
      </w:r>
      <w:r>
        <w:t>hey do not explicitly preserve multiple clinical capabilities</w:t>
      </w:r>
      <w:r w:rsidR="00371E3F">
        <w:t xml:space="preserve"> e.g. question answering, diagnosis, temporal reasoning,</w:t>
      </w:r>
      <w:r>
        <w:t xml:space="preserve"> rare-event coverage</w:t>
      </w:r>
      <w:r w:rsidR="00371E3F">
        <w:t>, etc.</w:t>
      </w:r>
      <w:r>
        <w:t xml:space="preserve"> across the complete training pipeline.</w:t>
      </w:r>
      <w:r>
        <w:br/>
      </w:r>
      <w:r>
        <w:br/>
      </w:r>
      <w:r>
        <w:rPr>
          <w:b/>
        </w:rPr>
        <w:t>Proposed Research</w:t>
      </w:r>
      <w:r>
        <w:rPr>
          <w:b/>
        </w:rPr>
        <w:br/>
      </w:r>
      <w:r>
        <w:t>This project proposes a multi-stage and multi-target data selection harness for medical foundation models. The framework will estimate the contribution of medical literature, patient records</w:t>
      </w:r>
      <w:r w:rsidR="00371E3F">
        <w:t xml:space="preserve"> (if available)</w:t>
      </w:r>
      <w:r>
        <w:t>, clinical instructions, and preference data</w:t>
      </w:r>
      <w:r w:rsidR="00964CDF">
        <w:t xml:space="preserve"> (if available)</w:t>
      </w:r>
      <w:r>
        <w:t xml:space="preserve"> at each training stage and generate stage-specific subsets for CPT, SFT, and preference optimization. The objective is to minimize training cost while preserving clinical capabilities including</w:t>
      </w:r>
      <w:r w:rsidR="00371E3F">
        <w:t xml:space="preserve"> </w:t>
      </w:r>
      <w:proofErr w:type="gramStart"/>
      <w:r w:rsidR="00371E3F">
        <w:t>Medical</w:t>
      </w:r>
      <w:proofErr w:type="gramEnd"/>
      <w:r w:rsidR="00371E3F">
        <w:t xml:space="preserve"> questions answering. We will also target other capabilities including</w:t>
      </w:r>
      <w:r>
        <w:t xml:space="preserve"> diagnosis, clinical summarization, information extraction, ICD coding, medical question answering, </w:t>
      </w:r>
      <w:r w:rsidR="00964CDF">
        <w:t xml:space="preserve">and </w:t>
      </w:r>
      <w:r>
        <w:t>temporal reasoning.</w:t>
      </w:r>
      <w:r>
        <w:br/>
      </w:r>
      <w:r>
        <w:br/>
      </w:r>
      <w:r>
        <w:rPr>
          <w:b/>
        </w:rPr>
        <w:t>Methodology</w:t>
      </w:r>
    </w:p>
    <w:p w14:paraId="7E7623EC" w14:textId="77777777" w:rsidR="007369E7" w:rsidRPr="007369E7" w:rsidRDefault="007369E7" w:rsidP="007369E7">
      <w:pPr>
        <w:rPr>
          <w:lang w:val="en-IN"/>
        </w:rPr>
      </w:pPr>
      <w:r w:rsidRPr="007369E7">
        <w:rPr>
          <w:lang w:val="en-IN"/>
        </w:rPr>
        <w:t xml:space="preserve">The proposed framework will develop a unified </w:t>
      </w:r>
      <w:r w:rsidRPr="007369E7">
        <w:rPr>
          <w:b/>
          <w:bCs/>
          <w:lang w:val="en-IN"/>
        </w:rPr>
        <w:t>multi-stage and multi-target data selection harness</w:t>
      </w:r>
      <w:r w:rsidRPr="007369E7">
        <w:rPr>
          <w:lang w:val="en-IN"/>
        </w:rPr>
        <w:t xml:space="preserve"> for medical foundation models. Rather than selecting a single subset for all training stages, the framework will learn separate selection policies for continued pretraining (CPT), supervised fine-tuning (SFT), and preference optimization (DPO/RLHF), recognizing that each stage requires different types of information and contributes differently to downstream clinical capabilities.</w:t>
      </w:r>
    </w:p>
    <w:p w14:paraId="154D0EDF" w14:textId="6532CDE4" w:rsidR="007369E7" w:rsidRPr="007369E7" w:rsidRDefault="007369E7" w:rsidP="007369E7">
      <w:pPr>
        <w:rPr>
          <w:lang w:val="en-IN"/>
        </w:rPr>
      </w:pPr>
      <w:r w:rsidRPr="007369E7">
        <w:rPr>
          <w:lang w:val="en-IN"/>
        </w:rPr>
        <w:t xml:space="preserve">Candidate training units—including biomedical literature, clinical notes (where available), instruction-response pairs, and preference datasets—will first undergo preprocessing and representation learning using biomedical embedding models. For each candidate, the framework will estimate multiple complementary scores including </w:t>
      </w:r>
      <w:r w:rsidRPr="007369E7">
        <w:rPr>
          <w:b/>
          <w:bCs/>
          <w:lang w:val="en-IN"/>
        </w:rPr>
        <w:t>influence on downstream performance</w:t>
      </w:r>
      <w:r>
        <w:rPr>
          <w:b/>
          <w:bCs/>
          <w:lang w:val="en-IN"/>
        </w:rPr>
        <w:t xml:space="preserve"> [5]</w:t>
      </w:r>
      <w:r w:rsidRPr="007369E7">
        <w:rPr>
          <w:lang w:val="en-IN"/>
        </w:rPr>
        <w:t xml:space="preserve">, </w:t>
      </w:r>
      <w:r w:rsidRPr="007369E7">
        <w:rPr>
          <w:b/>
          <w:bCs/>
          <w:lang w:val="en-IN"/>
        </w:rPr>
        <w:t>semantic relevance</w:t>
      </w:r>
      <w:r w:rsidRPr="007369E7">
        <w:rPr>
          <w:lang w:val="en-IN"/>
        </w:rPr>
        <w:t xml:space="preserve">, </w:t>
      </w:r>
      <w:r w:rsidRPr="007369E7">
        <w:rPr>
          <w:b/>
          <w:bCs/>
          <w:lang w:val="en-IN"/>
        </w:rPr>
        <w:t>diversity</w:t>
      </w:r>
      <w:r>
        <w:rPr>
          <w:b/>
          <w:bCs/>
          <w:lang w:val="en-IN"/>
        </w:rPr>
        <w:t>[5,7]</w:t>
      </w:r>
      <w:r w:rsidRPr="007369E7">
        <w:rPr>
          <w:lang w:val="en-IN"/>
        </w:rPr>
        <w:t xml:space="preserve">, </w:t>
      </w:r>
      <w:r>
        <w:rPr>
          <w:lang w:val="en-IN"/>
        </w:rPr>
        <w:t>r</w:t>
      </w:r>
      <w:r w:rsidRPr="007369E7">
        <w:rPr>
          <w:b/>
          <w:bCs/>
          <w:lang w:val="en-IN"/>
        </w:rPr>
        <w:t>are disease representation</w:t>
      </w:r>
      <w:r w:rsidRPr="007369E7">
        <w:rPr>
          <w:lang w:val="en-IN"/>
        </w:rPr>
        <w:t xml:space="preserve">, </w:t>
      </w:r>
      <w:r w:rsidRPr="007369E7">
        <w:rPr>
          <w:b/>
          <w:bCs/>
          <w:lang w:val="en-IN"/>
        </w:rPr>
        <w:t>privacy risk</w:t>
      </w:r>
      <w:r w:rsidRPr="007369E7">
        <w:rPr>
          <w:lang w:val="en-IN"/>
        </w:rPr>
        <w:t xml:space="preserve">, and </w:t>
      </w:r>
      <w:r w:rsidRPr="007369E7">
        <w:rPr>
          <w:b/>
          <w:bCs/>
          <w:lang w:val="en-IN"/>
        </w:rPr>
        <w:t>computational cost</w:t>
      </w:r>
      <w:r w:rsidRPr="007369E7">
        <w:rPr>
          <w:lang w:val="en-IN"/>
        </w:rPr>
        <w:t>. Influence estimation techniques, gradient-based data valuation</w:t>
      </w:r>
      <w:r>
        <w:rPr>
          <w:lang w:val="en-IN"/>
        </w:rPr>
        <w:t xml:space="preserve"> [6,7]</w:t>
      </w:r>
      <w:r w:rsidRPr="007369E7">
        <w:rPr>
          <w:lang w:val="en-IN"/>
        </w:rPr>
        <w:t>, and representation-space coverage measures will be combined to quantify the expected contribution of each sample. </w:t>
      </w:r>
    </w:p>
    <w:p w14:paraId="6297AC2A" w14:textId="09BADB34" w:rsidR="007369E7" w:rsidRPr="007369E7" w:rsidRDefault="007369E7" w:rsidP="007369E7">
      <w:pPr>
        <w:rPr>
          <w:lang w:val="en-IN"/>
        </w:rPr>
      </w:pPr>
      <w:r w:rsidRPr="007369E7">
        <w:rPr>
          <w:lang w:val="en-IN"/>
        </w:rPr>
        <w:t xml:space="preserve">The selection problem will be formulated as a </w:t>
      </w:r>
      <w:r w:rsidRPr="007369E7">
        <w:rPr>
          <w:b/>
          <w:bCs/>
          <w:lang w:val="en-IN"/>
        </w:rPr>
        <w:t>multi-objective optimization</w:t>
      </w:r>
      <w:r w:rsidRPr="007369E7">
        <w:rPr>
          <w:lang w:val="en-IN"/>
        </w:rPr>
        <w:t xml:space="preserve"> task. Instead of optimizing only downstream accuracy, the objective will maximize retention of multiple </w:t>
      </w:r>
      <w:r w:rsidRPr="007369E7">
        <w:rPr>
          <w:lang w:val="en-IN"/>
        </w:rPr>
        <w:lastRenderedPageBreak/>
        <w:t>clinical capabilities—including diagnosis, medical question answering, clinical summarization, information extraction,  and temporal reasoning—while minimizing dataset size and training cost. Capability-aware constraints will ensure that clinically important but infrequent phenomena, such as rare diseases and underrepresented patient populations, remain adequately represented in the selected subsets.</w:t>
      </w:r>
    </w:p>
    <w:p w14:paraId="6E645BF1" w14:textId="5B7D0460" w:rsidR="007369E7" w:rsidRPr="00E10E81" w:rsidRDefault="007369E7">
      <w:pPr>
        <w:rPr>
          <w:lang w:val="en-IN"/>
        </w:rPr>
      </w:pPr>
      <w:r w:rsidRPr="007369E7">
        <w:rPr>
          <w:lang w:val="en-IN"/>
        </w:rPr>
        <w:t xml:space="preserve">To accommodate the differing objectives of each training stage, the framework will learn </w:t>
      </w:r>
      <w:r w:rsidRPr="007369E7">
        <w:rPr>
          <w:b/>
          <w:bCs/>
          <w:lang w:val="en-IN"/>
        </w:rPr>
        <w:t>stage-specific scoring functions</w:t>
      </w:r>
      <w:r w:rsidRPr="007369E7">
        <w:rPr>
          <w:lang w:val="en-IN"/>
        </w:rPr>
        <w:t xml:space="preserve">. The CPT stage will prioritize broad biomedical knowledge, diversity, and long-tail coverage; the SFT stage will emphasize instruction quality and task-specific utility; and the preference optimization stage will prioritize high-quality preference pairs that improve reasoning, safety, and alignment. The proposed approach will be evaluated using publicly available biomedical datasets including </w:t>
      </w:r>
      <w:r w:rsidRPr="007369E7">
        <w:rPr>
          <w:b/>
          <w:bCs/>
          <w:lang w:val="en-IN"/>
        </w:rPr>
        <w:t>PubMed</w:t>
      </w:r>
      <w:r w:rsidRPr="007369E7">
        <w:rPr>
          <w:lang w:val="en-IN"/>
        </w:rPr>
        <w:t xml:space="preserve">, </w:t>
      </w:r>
      <w:proofErr w:type="spellStart"/>
      <w:r w:rsidRPr="007369E7">
        <w:rPr>
          <w:b/>
          <w:bCs/>
          <w:lang w:val="en-IN"/>
        </w:rPr>
        <w:t>MedQA</w:t>
      </w:r>
      <w:proofErr w:type="spellEnd"/>
      <w:r w:rsidRPr="007369E7">
        <w:rPr>
          <w:lang w:val="en-IN"/>
        </w:rPr>
        <w:t xml:space="preserve">, </w:t>
      </w:r>
      <w:proofErr w:type="spellStart"/>
      <w:r w:rsidRPr="007369E7">
        <w:rPr>
          <w:b/>
          <w:bCs/>
          <w:lang w:val="en-IN"/>
        </w:rPr>
        <w:t>MedMCQA</w:t>
      </w:r>
      <w:proofErr w:type="spellEnd"/>
      <w:r w:rsidRPr="007369E7">
        <w:rPr>
          <w:lang w:val="en-IN"/>
        </w:rPr>
        <w:t xml:space="preserve">, and </w:t>
      </w:r>
      <w:proofErr w:type="spellStart"/>
      <w:r w:rsidRPr="007369E7">
        <w:rPr>
          <w:b/>
          <w:bCs/>
          <w:lang w:val="en-IN"/>
        </w:rPr>
        <w:t>PubMedQA</w:t>
      </w:r>
      <w:proofErr w:type="spellEnd"/>
      <w:r w:rsidRPr="007369E7">
        <w:rPr>
          <w:lang w:val="en-IN"/>
        </w:rPr>
        <w:t>. Performance will be compared against existing data selection approaches using both model-centric metrics (task accuracy, reasoning performance, and calibration) and system-level metrics including training time, computational cost, data reduction ratio, and capability retention. Ablation studies will quantify the contribution of each scoring component, while interpretability analyses will provide auditable data valuation scores and explanations for why individual samples were selected or discarded. </w:t>
      </w:r>
    </w:p>
    <w:p w14:paraId="59A04177" w14:textId="706C5E6E" w:rsidR="00554C13" w:rsidRDefault="00000000">
      <w:r>
        <w:br/>
      </w:r>
      <w:r>
        <w:rPr>
          <w:b/>
        </w:rPr>
        <w:t>Expected Outcomes</w:t>
      </w:r>
      <w:r>
        <w:rPr>
          <w:b/>
        </w:rPr>
        <w:br/>
      </w:r>
      <w:r>
        <w:t xml:space="preserve">The project will deliver a reusable data-selection harness, </w:t>
      </w:r>
      <w:r w:rsidR="00371E3F">
        <w:t xml:space="preserve">with </w:t>
      </w:r>
      <w:r>
        <w:t>stage-specific subset selection algorithms, interpretable data valuation scores, and a report</w:t>
      </w:r>
      <w:r w:rsidR="00DB6FFD">
        <w:t xml:space="preserve"> documenting </w:t>
      </w:r>
      <w:proofErr w:type="gramStart"/>
      <w:r w:rsidR="00DB6FFD">
        <w:t xml:space="preserve">the </w:t>
      </w:r>
      <w:r>
        <w:t>.</w:t>
      </w:r>
      <w:proofErr w:type="gramEnd"/>
      <w:r>
        <w:t xml:space="preserve"> The framework aims to enable efficient, trustworthy, and clinically robust training of medical foundation models while reducing compute and data requirements.</w:t>
      </w:r>
    </w:p>
    <w:p w14:paraId="21097AE2" w14:textId="494D5A8B" w:rsidR="00BC0C5C" w:rsidRDefault="00BC0C5C">
      <w:pPr>
        <w:pStyle w:val="Heading2"/>
      </w:pPr>
      <w:r>
        <w:t>One-year plan</w:t>
      </w:r>
    </w:p>
    <w:tbl>
      <w:tblPr>
        <w:tblStyle w:val="TableGrid"/>
        <w:tblW w:w="0" w:type="auto"/>
        <w:jc w:val="center"/>
        <w:tblLook w:val="04A0" w:firstRow="1" w:lastRow="0" w:firstColumn="1" w:lastColumn="0" w:noHBand="0" w:noVBand="1"/>
      </w:tblPr>
      <w:tblGrid>
        <w:gridCol w:w="926"/>
        <w:gridCol w:w="1947"/>
        <w:gridCol w:w="3298"/>
        <w:gridCol w:w="2544"/>
      </w:tblGrid>
      <w:tr w:rsidR="00BC0C5C" w14:paraId="6024D4B2" w14:textId="77777777" w:rsidTr="002677B1">
        <w:trPr>
          <w:jc w:val="center"/>
        </w:trPr>
        <w:tc>
          <w:tcPr>
            <w:tcW w:w="926" w:type="dxa"/>
          </w:tcPr>
          <w:p w14:paraId="37976DE6" w14:textId="77777777" w:rsidR="00BC0C5C" w:rsidRDefault="00BC0C5C" w:rsidP="002677B1">
            <w:r>
              <w:t>Months</w:t>
            </w:r>
          </w:p>
        </w:tc>
        <w:tc>
          <w:tcPr>
            <w:tcW w:w="1947" w:type="dxa"/>
          </w:tcPr>
          <w:p w14:paraId="475FDD82" w14:textId="77777777" w:rsidR="00BC0C5C" w:rsidRDefault="00BC0C5C" w:rsidP="002677B1">
            <w:r>
              <w:t>Work Package</w:t>
            </w:r>
          </w:p>
        </w:tc>
        <w:tc>
          <w:tcPr>
            <w:tcW w:w="3298" w:type="dxa"/>
          </w:tcPr>
          <w:p w14:paraId="43C18C9B" w14:textId="77777777" w:rsidR="00BC0C5C" w:rsidRDefault="00BC0C5C" w:rsidP="002677B1">
            <w:r>
              <w:t>Activities</w:t>
            </w:r>
          </w:p>
        </w:tc>
        <w:tc>
          <w:tcPr>
            <w:tcW w:w="2544" w:type="dxa"/>
          </w:tcPr>
          <w:p w14:paraId="733C01FA" w14:textId="77777777" w:rsidR="00BC0C5C" w:rsidRDefault="00BC0C5C" w:rsidP="002677B1">
            <w:r>
              <w:t>Deliverables</w:t>
            </w:r>
          </w:p>
        </w:tc>
      </w:tr>
      <w:tr w:rsidR="00BC0C5C" w14:paraId="1AE5E8ED" w14:textId="77777777" w:rsidTr="002677B1">
        <w:trPr>
          <w:jc w:val="center"/>
        </w:trPr>
        <w:tc>
          <w:tcPr>
            <w:tcW w:w="926" w:type="dxa"/>
          </w:tcPr>
          <w:p w14:paraId="00009AB1" w14:textId="77777777" w:rsidR="00BC0C5C" w:rsidRDefault="00BC0C5C" w:rsidP="002677B1">
            <w:r>
              <w:t>1–2</w:t>
            </w:r>
          </w:p>
        </w:tc>
        <w:tc>
          <w:tcPr>
            <w:tcW w:w="1947" w:type="dxa"/>
          </w:tcPr>
          <w:p w14:paraId="323B2C9A" w14:textId="77777777" w:rsidR="00BC0C5C" w:rsidRDefault="00BC0C5C" w:rsidP="002677B1">
            <w:r>
              <w:t>Harness Design &amp; Baselines</w:t>
            </w:r>
          </w:p>
        </w:tc>
        <w:tc>
          <w:tcPr>
            <w:tcW w:w="3298" w:type="dxa"/>
          </w:tcPr>
          <w:p w14:paraId="232AE18C" w14:textId="77777777" w:rsidR="00BC0C5C" w:rsidRDefault="00BC0C5C" w:rsidP="002677B1">
            <w:r>
              <w:t xml:space="preserve">Design architecture; collect PubMed, </w:t>
            </w:r>
            <w:proofErr w:type="spellStart"/>
            <w:r>
              <w:t>MedQA</w:t>
            </w:r>
            <w:proofErr w:type="spellEnd"/>
            <w:r>
              <w:t xml:space="preserve">, </w:t>
            </w:r>
            <w:proofErr w:type="spellStart"/>
            <w:r>
              <w:t>MedMCQA</w:t>
            </w:r>
            <w:proofErr w:type="spellEnd"/>
            <w:r>
              <w:t xml:space="preserve">, </w:t>
            </w:r>
            <w:proofErr w:type="spellStart"/>
            <w:r>
              <w:t>PubMedQA</w:t>
            </w:r>
            <w:proofErr w:type="spellEnd"/>
            <w:r>
              <w:t>; implement CPT/SFT pipelines and baseline evaluation.</w:t>
            </w:r>
          </w:p>
        </w:tc>
        <w:tc>
          <w:tcPr>
            <w:tcW w:w="2544" w:type="dxa"/>
          </w:tcPr>
          <w:p w14:paraId="3F1B71B4" w14:textId="77777777" w:rsidR="00BC0C5C" w:rsidRDefault="00BC0C5C" w:rsidP="002677B1">
            <w:r>
              <w:t>Architecture document; baseline pipeline; initial benchmark results.</w:t>
            </w:r>
          </w:p>
        </w:tc>
      </w:tr>
      <w:tr w:rsidR="00BC0C5C" w14:paraId="48016CEC" w14:textId="77777777" w:rsidTr="002677B1">
        <w:trPr>
          <w:jc w:val="center"/>
        </w:trPr>
        <w:tc>
          <w:tcPr>
            <w:tcW w:w="926" w:type="dxa"/>
          </w:tcPr>
          <w:p w14:paraId="01257A1C" w14:textId="77777777" w:rsidR="00BC0C5C" w:rsidRDefault="00BC0C5C" w:rsidP="002677B1">
            <w:r>
              <w:t>3–4</w:t>
            </w:r>
          </w:p>
        </w:tc>
        <w:tc>
          <w:tcPr>
            <w:tcW w:w="1947" w:type="dxa"/>
          </w:tcPr>
          <w:p w14:paraId="15CA2585" w14:textId="77777777" w:rsidR="00BC0C5C" w:rsidRDefault="00BC0C5C" w:rsidP="002677B1">
            <w:r>
              <w:t>Relevance &amp; Coverage</w:t>
            </w:r>
          </w:p>
        </w:tc>
        <w:tc>
          <w:tcPr>
            <w:tcW w:w="3298" w:type="dxa"/>
          </w:tcPr>
          <w:p w14:paraId="070E0C47" w14:textId="77777777" w:rsidR="00BC0C5C" w:rsidRDefault="00BC0C5C" w:rsidP="002677B1">
            <w:r>
              <w:t>Implement semantic relevance scoring, medical specialty classification and capability coverage estimation.</w:t>
            </w:r>
          </w:p>
        </w:tc>
        <w:tc>
          <w:tcPr>
            <w:tcW w:w="2544" w:type="dxa"/>
          </w:tcPr>
          <w:p w14:paraId="40F9BE2C" w14:textId="77777777" w:rsidR="00BC0C5C" w:rsidRDefault="00BC0C5C" w:rsidP="002677B1">
            <w:r>
              <w:t>Relevance engine and capability-aware scoring module.</w:t>
            </w:r>
          </w:p>
        </w:tc>
      </w:tr>
      <w:tr w:rsidR="00BC0C5C" w14:paraId="7C523C23" w14:textId="77777777" w:rsidTr="002677B1">
        <w:trPr>
          <w:jc w:val="center"/>
        </w:trPr>
        <w:tc>
          <w:tcPr>
            <w:tcW w:w="926" w:type="dxa"/>
          </w:tcPr>
          <w:p w14:paraId="79BC6E2D" w14:textId="77777777" w:rsidR="00BC0C5C" w:rsidRDefault="00BC0C5C" w:rsidP="002677B1">
            <w:r>
              <w:t>5–6</w:t>
            </w:r>
          </w:p>
        </w:tc>
        <w:tc>
          <w:tcPr>
            <w:tcW w:w="1947" w:type="dxa"/>
          </w:tcPr>
          <w:p w14:paraId="4CDBA963" w14:textId="77777777" w:rsidR="00BC0C5C" w:rsidRDefault="00BC0C5C" w:rsidP="002677B1">
            <w:r>
              <w:t>Learned Diversity</w:t>
            </w:r>
          </w:p>
        </w:tc>
        <w:tc>
          <w:tcPr>
            <w:tcW w:w="3298" w:type="dxa"/>
          </w:tcPr>
          <w:p w14:paraId="21FE0A2B" w14:textId="77777777" w:rsidR="00BC0C5C" w:rsidRDefault="00BC0C5C" w:rsidP="002677B1">
            <w:r>
              <w:t>Develop learned diversity scoring using embeddings and capability coverage; compare against heuristic diversity.</w:t>
            </w:r>
          </w:p>
        </w:tc>
        <w:tc>
          <w:tcPr>
            <w:tcW w:w="2544" w:type="dxa"/>
          </w:tcPr>
          <w:p w14:paraId="29D8C6E0" w14:textId="77777777" w:rsidR="00BC0C5C" w:rsidRDefault="00BC0C5C" w:rsidP="002677B1">
            <w:r>
              <w:t>Prototype diversity module and diversity-aware subset selector.</w:t>
            </w:r>
          </w:p>
        </w:tc>
      </w:tr>
      <w:tr w:rsidR="00BC0C5C" w14:paraId="3CC7F31D" w14:textId="77777777" w:rsidTr="002677B1">
        <w:trPr>
          <w:jc w:val="center"/>
        </w:trPr>
        <w:tc>
          <w:tcPr>
            <w:tcW w:w="926" w:type="dxa"/>
          </w:tcPr>
          <w:p w14:paraId="79DA16D4" w14:textId="77777777" w:rsidR="00BC0C5C" w:rsidRDefault="00BC0C5C" w:rsidP="002677B1">
            <w:r>
              <w:t>7–8</w:t>
            </w:r>
          </w:p>
        </w:tc>
        <w:tc>
          <w:tcPr>
            <w:tcW w:w="1947" w:type="dxa"/>
          </w:tcPr>
          <w:p w14:paraId="3EAAB67B" w14:textId="77777777" w:rsidR="00BC0C5C" w:rsidRDefault="00BC0C5C" w:rsidP="002677B1">
            <w:r>
              <w:t>Stage-aware Selection</w:t>
            </w:r>
          </w:p>
        </w:tc>
        <w:tc>
          <w:tcPr>
            <w:tcW w:w="3298" w:type="dxa"/>
          </w:tcPr>
          <w:p w14:paraId="36276314" w14:textId="77777777" w:rsidR="00BC0C5C" w:rsidRDefault="00BC0C5C" w:rsidP="002677B1">
            <w:r>
              <w:t>Develop separate CPT and SFT selection algorithms with multi-objective optimization.</w:t>
            </w:r>
          </w:p>
        </w:tc>
        <w:tc>
          <w:tcPr>
            <w:tcW w:w="2544" w:type="dxa"/>
          </w:tcPr>
          <w:p w14:paraId="2010BA4E" w14:textId="77777777" w:rsidR="00BC0C5C" w:rsidRDefault="00BC0C5C" w:rsidP="002677B1">
            <w:r>
              <w:t>Integrated stage-aware harness producing CPT and SFT subsets.</w:t>
            </w:r>
          </w:p>
        </w:tc>
      </w:tr>
      <w:tr w:rsidR="00BC0C5C" w14:paraId="2FFDDDF0" w14:textId="77777777" w:rsidTr="002677B1">
        <w:trPr>
          <w:jc w:val="center"/>
        </w:trPr>
        <w:tc>
          <w:tcPr>
            <w:tcW w:w="926" w:type="dxa"/>
          </w:tcPr>
          <w:p w14:paraId="5DC682E3" w14:textId="77777777" w:rsidR="00BC0C5C" w:rsidRDefault="00BC0C5C" w:rsidP="002677B1">
            <w:r>
              <w:t>9–10</w:t>
            </w:r>
          </w:p>
        </w:tc>
        <w:tc>
          <w:tcPr>
            <w:tcW w:w="1947" w:type="dxa"/>
          </w:tcPr>
          <w:p w14:paraId="23983920" w14:textId="77777777" w:rsidR="00BC0C5C" w:rsidRDefault="00BC0C5C" w:rsidP="002677B1">
            <w:r>
              <w:t xml:space="preserve">Training &amp; </w:t>
            </w:r>
            <w:r>
              <w:lastRenderedPageBreak/>
              <w:t>Validation</w:t>
            </w:r>
          </w:p>
        </w:tc>
        <w:tc>
          <w:tcPr>
            <w:tcW w:w="3298" w:type="dxa"/>
          </w:tcPr>
          <w:p w14:paraId="21D4415D" w14:textId="77777777" w:rsidR="00BC0C5C" w:rsidRDefault="00BC0C5C" w:rsidP="002677B1">
            <w:r>
              <w:lastRenderedPageBreak/>
              <w:t>Run CPT and task-specific fine-</w:t>
            </w:r>
            <w:r>
              <w:lastRenderedPageBreak/>
              <w:t xml:space="preserve">tuning using selected subsets; evaluate on </w:t>
            </w:r>
            <w:proofErr w:type="spellStart"/>
            <w:r>
              <w:t>MedQA</w:t>
            </w:r>
            <w:proofErr w:type="spellEnd"/>
            <w:r>
              <w:t xml:space="preserve">, </w:t>
            </w:r>
            <w:proofErr w:type="spellStart"/>
            <w:r>
              <w:t>MedMCQA</w:t>
            </w:r>
            <w:proofErr w:type="spellEnd"/>
            <w:r>
              <w:t xml:space="preserve"> and </w:t>
            </w:r>
            <w:proofErr w:type="spellStart"/>
            <w:r>
              <w:t>PubMedQA</w:t>
            </w:r>
            <w:proofErr w:type="spellEnd"/>
            <w:r>
              <w:t>; perform ablations.</w:t>
            </w:r>
          </w:p>
        </w:tc>
        <w:tc>
          <w:tcPr>
            <w:tcW w:w="2544" w:type="dxa"/>
          </w:tcPr>
          <w:p w14:paraId="66DC6439" w14:textId="77777777" w:rsidR="00BC0C5C" w:rsidRDefault="00BC0C5C" w:rsidP="002677B1">
            <w:r>
              <w:lastRenderedPageBreak/>
              <w:t xml:space="preserve">Performance report, </w:t>
            </w:r>
            <w:r>
              <w:lastRenderedPageBreak/>
              <w:t>capability analysis and baseline comparison.</w:t>
            </w:r>
          </w:p>
        </w:tc>
      </w:tr>
      <w:tr w:rsidR="00BC0C5C" w14:paraId="394308EE" w14:textId="77777777" w:rsidTr="002677B1">
        <w:trPr>
          <w:jc w:val="center"/>
        </w:trPr>
        <w:tc>
          <w:tcPr>
            <w:tcW w:w="926" w:type="dxa"/>
          </w:tcPr>
          <w:p w14:paraId="39380400" w14:textId="77777777" w:rsidR="00BC0C5C" w:rsidRDefault="00BC0C5C" w:rsidP="002677B1">
            <w:r>
              <w:lastRenderedPageBreak/>
              <w:t>11–12</w:t>
            </w:r>
          </w:p>
        </w:tc>
        <w:tc>
          <w:tcPr>
            <w:tcW w:w="1947" w:type="dxa"/>
          </w:tcPr>
          <w:p w14:paraId="34FE363D" w14:textId="77777777" w:rsidR="00BC0C5C" w:rsidRDefault="00BC0C5C" w:rsidP="002677B1">
            <w:r>
              <w:t>Refinement &amp; Release</w:t>
            </w:r>
          </w:p>
        </w:tc>
        <w:tc>
          <w:tcPr>
            <w:tcW w:w="3298" w:type="dxa"/>
          </w:tcPr>
          <w:p w14:paraId="17738B85" w14:textId="77777777" w:rsidR="00BC0C5C" w:rsidRDefault="00BC0C5C" w:rsidP="002677B1">
            <w:r>
              <w:t>Improve robustness, reporting and interpretability; package software; prepare publications and final report.</w:t>
            </w:r>
          </w:p>
        </w:tc>
        <w:tc>
          <w:tcPr>
            <w:tcW w:w="2544" w:type="dxa"/>
          </w:tcPr>
          <w:p w14:paraId="46BC1A20" w14:textId="77777777" w:rsidR="00BC0C5C" w:rsidRDefault="00BC0C5C" w:rsidP="002677B1">
            <w:r>
              <w:t>Reusable harness, documentation and publication-ready manuscript.</w:t>
            </w:r>
          </w:p>
        </w:tc>
      </w:tr>
    </w:tbl>
    <w:p w14:paraId="5D3E3218" w14:textId="77777777" w:rsidR="00BC0C5C" w:rsidRDefault="00BC0C5C">
      <w:pPr>
        <w:pStyle w:val="Heading2"/>
      </w:pPr>
    </w:p>
    <w:p w14:paraId="73FC5296" w14:textId="03BBF8A3" w:rsidR="00554C13" w:rsidRDefault="00000000">
      <w:pPr>
        <w:pStyle w:val="Heading2"/>
      </w:pPr>
      <w:r>
        <w:t>Selected References</w:t>
      </w:r>
    </w:p>
    <w:p w14:paraId="31F94BF7" w14:textId="77777777" w:rsidR="00554C13" w:rsidRDefault="00000000" w:rsidP="005D69E1">
      <w:pPr>
        <w:pStyle w:val="ListBullet"/>
        <w:numPr>
          <w:ilvl w:val="0"/>
          <w:numId w:val="10"/>
        </w:numPr>
      </w:pPr>
      <w:r>
        <w:t>Xia et al. (2024). LESS: Selecting Influential Data for Targeted Instruction Tuning. ICML 2024.</w:t>
      </w:r>
    </w:p>
    <w:p w14:paraId="43E405CB" w14:textId="77777777" w:rsidR="00554C13" w:rsidRDefault="00000000" w:rsidP="005D69E1">
      <w:pPr>
        <w:pStyle w:val="ListBullet"/>
        <w:numPr>
          <w:ilvl w:val="0"/>
          <w:numId w:val="10"/>
        </w:numPr>
      </w:pPr>
      <w:r>
        <w:t>Yang et al. (2025). 3DS: Medical Domain Adaptation of LLMs via Decomposed Difficulty-based Data Selection. EMNLP 2025.</w:t>
      </w:r>
    </w:p>
    <w:p w14:paraId="1DBF0607" w14:textId="77777777" w:rsidR="00554C13" w:rsidRDefault="00000000" w:rsidP="005D69E1">
      <w:pPr>
        <w:pStyle w:val="ListBullet"/>
        <w:numPr>
          <w:ilvl w:val="0"/>
          <w:numId w:val="10"/>
        </w:numPr>
      </w:pPr>
      <w:r>
        <w:t>Gadre et al. (2023). DataComp: In Search of the Next Generation of Multimodal Datasets. NeurIPS 2023.</w:t>
      </w:r>
    </w:p>
    <w:p w14:paraId="445706BF" w14:textId="77777777" w:rsidR="00554C13" w:rsidRDefault="00000000" w:rsidP="005D69E1">
      <w:pPr>
        <w:pStyle w:val="ListBullet"/>
        <w:numPr>
          <w:ilvl w:val="0"/>
          <w:numId w:val="10"/>
        </w:numPr>
      </w:pPr>
      <w:r>
        <w:t>Park et al. (2023). TRAK: Attributing Model Behavior at Scale. ICML 2023.</w:t>
      </w:r>
    </w:p>
    <w:p w14:paraId="59AA9CCF" w14:textId="77777777" w:rsidR="00554C13" w:rsidRDefault="00000000" w:rsidP="005D69E1">
      <w:pPr>
        <w:pStyle w:val="ListBullet"/>
        <w:numPr>
          <w:ilvl w:val="0"/>
          <w:numId w:val="10"/>
        </w:numPr>
      </w:pPr>
      <w:r>
        <w:t>Koh &amp; Liang (2017). Understanding Black-box Predictions via Influence Functions. ICML 2017.</w:t>
      </w:r>
    </w:p>
    <w:p w14:paraId="014E9FB9" w14:textId="77777777" w:rsidR="00554C13" w:rsidRDefault="00000000" w:rsidP="005D69E1">
      <w:pPr>
        <w:pStyle w:val="ListBullet"/>
        <w:numPr>
          <w:ilvl w:val="0"/>
          <w:numId w:val="10"/>
        </w:numPr>
      </w:pPr>
      <w:r>
        <w:t>Killamsetty et al. (2021). GLISTER: Generalization based Data Subset Selection. AAAI 2021.</w:t>
      </w:r>
    </w:p>
    <w:p w14:paraId="40522C9C" w14:textId="77777777" w:rsidR="00554C13" w:rsidRDefault="00000000" w:rsidP="005D69E1">
      <w:pPr>
        <w:pStyle w:val="ListBullet"/>
        <w:numPr>
          <w:ilvl w:val="0"/>
          <w:numId w:val="10"/>
        </w:numPr>
      </w:pPr>
      <w:r>
        <w:t>Killamsetty et al. (2021). GradMatch: Gradient Matching based Data Subset Selection. ICML Workshop 2021.</w:t>
      </w:r>
    </w:p>
    <w:p w14:paraId="2B86438D" w14:textId="77777777" w:rsidR="00554C13" w:rsidRDefault="00000000" w:rsidP="005D69E1">
      <w:pPr>
        <w:pStyle w:val="ListBullet"/>
        <w:numPr>
          <w:ilvl w:val="0"/>
          <w:numId w:val="10"/>
        </w:numPr>
      </w:pPr>
      <w:r>
        <w:t>Johnson et al. (2023). MIMIC-IV, a freely accessible electronic health record dataset. Scientific Data.</w:t>
      </w:r>
    </w:p>
    <w:p w14:paraId="58DA4639" w14:textId="77777777" w:rsidR="00554C13" w:rsidRDefault="00000000" w:rsidP="005D69E1">
      <w:pPr>
        <w:pStyle w:val="ListBullet"/>
        <w:numPr>
          <w:ilvl w:val="0"/>
          <w:numId w:val="10"/>
        </w:numPr>
      </w:pPr>
      <w:r>
        <w:t>Jin et al. (2021). MedQA: A dataset for medical question answering.</w:t>
      </w:r>
    </w:p>
    <w:p w14:paraId="48C4D5EB" w14:textId="77777777" w:rsidR="00554C13" w:rsidRDefault="00000000" w:rsidP="005D69E1">
      <w:pPr>
        <w:pStyle w:val="ListBullet"/>
        <w:numPr>
          <w:ilvl w:val="0"/>
          <w:numId w:val="10"/>
        </w:numPr>
      </w:pPr>
      <w:r>
        <w:t>Pal et al. (2022). MedMCQA: A large-scale multiple-choice QA dataset for medical entrance examination.</w:t>
      </w:r>
    </w:p>
    <w:p w14:paraId="424F70B6" w14:textId="77777777" w:rsidR="00554C13" w:rsidRDefault="00000000" w:rsidP="005D69E1">
      <w:pPr>
        <w:pStyle w:val="ListBullet"/>
        <w:numPr>
          <w:ilvl w:val="0"/>
          <w:numId w:val="10"/>
        </w:numPr>
      </w:pPr>
      <w:r>
        <w:t>Jin et al. (2019). PubMedQA: A Dataset for Biomedical Research Question Answering.</w:t>
      </w:r>
    </w:p>
    <w:p w14:paraId="5D398C41" w14:textId="77777777" w:rsidR="00442C02" w:rsidRDefault="00442C02" w:rsidP="00442C02">
      <w:pPr>
        <w:pStyle w:val="ListBullet"/>
        <w:numPr>
          <w:ilvl w:val="0"/>
          <w:numId w:val="0"/>
        </w:numPr>
        <w:ind w:left="360" w:hanging="360"/>
      </w:pPr>
    </w:p>
    <w:p w14:paraId="7369CB38" w14:textId="77777777" w:rsidR="00442C02" w:rsidRDefault="00442C02" w:rsidP="00442C02">
      <w:pPr>
        <w:pStyle w:val="ListBullet"/>
        <w:numPr>
          <w:ilvl w:val="0"/>
          <w:numId w:val="0"/>
        </w:numPr>
        <w:ind w:left="360" w:hanging="360"/>
      </w:pPr>
    </w:p>
    <w:sectPr w:rsidR="00442C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742E80"/>
    <w:multiLevelType w:val="hybridMultilevel"/>
    <w:tmpl w:val="3378DD0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56148994">
    <w:abstractNumId w:val="8"/>
  </w:num>
  <w:num w:numId="2" w16cid:durableId="172497213">
    <w:abstractNumId w:val="6"/>
  </w:num>
  <w:num w:numId="3" w16cid:durableId="729114101">
    <w:abstractNumId w:val="5"/>
  </w:num>
  <w:num w:numId="4" w16cid:durableId="493373852">
    <w:abstractNumId w:val="4"/>
  </w:num>
  <w:num w:numId="5" w16cid:durableId="1196969169">
    <w:abstractNumId w:val="7"/>
  </w:num>
  <w:num w:numId="6" w16cid:durableId="1038816949">
    <w:abstractNumId w:val="3"/>
  </w:num>
  <w:num w:numId="7" w16cid:durableId="1807508825">
    <w:abstractNumId w:val="2"/>
  </w:num>
  <w:num w:numId="8" w16cid:durableId="334765377">
    <w:abstractNumId w:val="1"/>
  </w:num>
  <w:num w:numId="9" w16cid:durableId="1640257448">
    <w:abstractNumId w:val="0"/>
  </w:num>
  <w:num w:numId="10" w16cid:durableId="195474598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743"/>
    <w:rsid w:val="00034616"/>
    <w:rsid w:val="0006063C"/>
    <w:rsid w:val="0015074B"/>
    <w:rsid w:val="0029639D"/>
    <w:rsid w:val="00326F90"/>
    <w:rsid w:val="00371E3F"/>
    <w:rsid w:val="003D1335"/>
    <w:rsid w:val="00442C02"/>
    <w:rsid w:val="00554C13"/>
    <w:rsid w:val="005D69E1"/>
    <w:rsid w:val="007369E7"/>
    <w:rsid w:val="008C299B"/>
    <w:rsid w:val="00964CDF"/>
    <w:rsid w:val="00AA1D8D"/>
    <w:rsid w:val="00B47730"/>
    <w:rsid w:val="00BC0C5C"/>
    <w:rsid w:val="00CB0664"/>
    <w:rsid w:val="00D55FE4"/>
    <w:rsid w:val="00DB6FFD"/>
    <w:rsid w:val="00E10E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65347"/>
  <w14:defaultImageDpi w14:val="300"/>
  <w15:docId w15:val="{72730834-72D0-D94F-B15B-B69F1FD5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sourangshu</cp:lastModifiedBy>
  <cp:revision>12</cp:revision>
  <dcterms:created xsi:type="dcterms:W3CDTF">2013-12-23T23:15:00Z</dcterms:created>
  <dcterms:modified xsi:type="dcterms:W3CDTF">2026-07-21T05:37:00Z</dcterms:modified>
  <cp:category/>
</cp:coreProperties>
</file>