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PDS Diagnostic Report</w:t>
      </w:r>
    </w:p>
    <w:p>
      <w:r>
        <w:t>PMP-based Data Selection (Gu et al., ICLR 2025) on MedMCQA SFT</w:t>
        <w:br/>
        <w:t>BTP Project | September 2026</w:t>
      </w:r>
    </w:p>
    <w:p>
      <w:pPr>
        <w:pStyle w:val="Heading1"/>
      </w:pPr>
      <w:r>
        <w:t>Key Finding</w:t>
      </w:r>
    </w:p>
    <w:p>
      <w:r>
        <w:t>PDS achieves 0.4894 accuracy on MedMCQA validation (95% CI: [0.475, 0.504]), landing slightly below random selection (0.4908) and within the noise band of all five tested methods. The score distribution shows PDS is making real distinctions between records, but those distinctions do not translate to downstream accuracy gains in this regime.</w:t>
      </w:r>
    </w:p>
    <w:p>
      <w:pPr>
        <w:pStyle w:val="Heading1"/>
      </w:pPr>
      <w:r>
        <w:t>Accuracy Leaderboard (seed=42, 6.7% budget)</w:t>
      </w:r>
    </w:p>
    <w:tbl>
      <w:tblPr>
        <w:tblStyle w:val="LightShading-Accent1"/>
        <w:tblW w:type="auto" w:w="0"/>
        <w:jc w:val="left"/>
        <w:tblLook w:firstColumn="1" w:firstRow="1" w:lastColumn="0" w:lastRow="0" w:noHBand="0" w:noVBand="1" w:val="04A0"/>
      </w:tblPr>
      <w:tblGrid>
        <w:gridCol w:w="2160"/>
        <w:gridCol w:w="2160"/>
        <w:gridCol w:w="2160"/>
        <w:gridCol w:w="2160"/>
      </w:tblGrid>
      <w:tr>
        <w:tc>
          <w:tcPr>
            <w:tcW w:type="dxa" w:w="2160"/>
          </w:tcPr>
          <w:p>
            <w:r>
              <w:rPr>
                <w:b/>
              </w:rPr>
              <w:t>Scorer</w:t>
            </w:r>
          </w:p>
        </w:tc>
        <w:tc>
          <w:tcPr>
            <w:tcW w:type="dxa" w:w="2160"/>
          </w:tcPr>
          <w:p>
            <w:r>
              <w:rPr>
                <w:b/>
              </w:rPr>
              <w:t>Accuracy</w:t>
            </w:r>
          </w:p>
        </w:tc>
        <w:tc>
          <w:tcPr>
            <w:tcW w:type="dxa" w:w="2160"/>
          </w:tcPr>
          <w:p>
            <w:r>
              <w:rPr>
                <w:b/>
              </w:rPr>
              <w:t>95% CI</w:t>
            </w:r>
          </w:p>
        </w:tc>
        <w:tc>
          <w:tcPr>
            <w:tcW w:type="dxa" w:w="2160"/>
          </w:tcPr>
          <w:p>
            <w:r>
              <w:rPr>
                <w:b/>
              </w:rPr>
              <w:t>Records Selected</w:t>
            </w:r>
          </w:p>
        </w:tc>
      </w:tr>
      <w:tr>
        <w:tc>
          <w:tcPr>
            <w:tcW w:type="dxa" w:w="2160"/>
          </w:tcPr>
          <w:p>
            <w:r>
              <w:t>3DS</w:t>
            </w:r>
          </w:p>
        </w:tc>
        <w:tc>
          <w:tcPr>
            <w:tcW w:type="dxa" w:w="2160"/>
          </w:tcPr>
          <w:p>
            <w:r>
              <w:t>0.4941</w:t>
            </w:r>
          </w:p>
        </w:tc>
        <w:tc>
          <w:tcPr>
            <w:tcW w:type="dxa" w:w="2160"/>
          </w:tcPr>
          <w:p>
            <w:r>
              <w:t>[0.480, 0.509]</w:t>
            </w:r>
          </w:p>
        </w:tc>
        <w:tc>
          <w:tcPr>
            <w:tcW w:type="dxa" w:w="2160"/>
          </w:tcPr>
          <w:p>
            <w:r>
              <w:t>1,850</w:t>
            </w:r>
          </w:p>
        </w:tc>
      </w:tr>
      <w:tr>
        <w:tc>
          <w:tcPr>
            <w:tcW w:type="dxa" w:w="2160"/>
          </w:tcPr>
          <w:p>
            <w:r>
              <w:t>DSIR</w:t>
            </w:r>
          </w:p>
        </w:tc>
        <w:tc>
          <w:tcPr>
            <w:tcW w:type="dxa" w:w="2160"/>
          </w:tcPr>
          <w:p>
            <w:r>
              <w:t>0.4930</w:t>
            </w:r>
          </w:p>
        </w:tc>
        <w:tc>
          <w:tcPr>
            <w:tcW w:type="dxa" w:w="2160"/>
          </w:tcPr>
          <w:p>
            <w:r>
              <w:t>[0.479, 0.508]</w:t>
            </w:r>
          </w:p>
        </w:tc>
        <w:tc>
          <w:tcPr>
            <w:tcW w:type="dxa" w:w="2160"/>
          </w:tcPr>
          <w:p>
            <w:r>
              <w:t>2,197</w:t>
            </w:r>
          </w:p>
        </w:tc>
      </w:tr>
      <w:tr>
        <w:tc>
          <w:tcPr>
            <w:tcW w:type="dxa" w:w="2160"/>
          </w:tcPr>
          <w:p>
            <w:r>
              <w:t>Random</w:t>
            </w:r>
          </w:p>
        </w:tc>
        <w:tc>
          <w:tcPr>
            <w:tcW w:type="dxa" w:w="2160"/>
          </w:tcPr>
          <w:p>
            <w:r>
              <w:t>0.4908</w:t>
            </w:r>
          </w:p>
        </w:tc>
        <w:tc>
          <w:tcPr>
            <w:tcW w:type="dxa" w:w="2160"/>
          </w:tcPr>
          <w:p>
            <w:r>
              <w:t>[0.476, 0.505]</w:t>
            </w:r>
          </w:p>
        </w:tc>
        <w:tc>
          <w:tcPr>
            <w:tcW w:type="dxa" w:w="2160"/>
          </w:tcPr>
          <w:p>
            <w:r>
              <w:t>2,000</w:t>
            </w:r>
          </w:p>
        </w:tc>
      </w:tr>
      <w:tr>
        <w:tc>
          <w:tcPr>
            <w:tcW w:type="dxa" w:w="2160"/>
          </w:tcPr>
          <w:p>
            <w:r>
              <w:t>PDS</w:t>
            </w:r>
          </w:p>
        </w:tc>
        <w:tc>
          <w:tcPr>
            <w:tcW w:type="dxa" w:w="2160"/>
          </w:tcPr>
          <w:p>
            <w:r>
              <w:t>0.4894</w:t>
            </w:r>
          </w:p>
        </w:tc>
        <w:tc>
          <w:tcPr>
            <w:tcW w:type="dxa" w:w="2160"/>
          </w:tcPr>
          <w:p>
            <w:r>
              <w:t>[0.475, 0.504]</w:t>
            </w:r>
          </w:p>
        </w:tc>
        <w:tc>
          <w:tcPr>
            <w:tcW w:type="dxa" w:w="2160"/>
          </w:tcPr>
          <w:p>
            <w:r>
              <w:t>2,482</w:t>
            </w:r>
          </w:p>
        </w:tc>
      </w:tr>
      <w:tr>
        <w:tc>
          <w:tcPr>
            <w:tcW w:type="dxa" w:w="2160"/>
          </w:tcPr>
          <w:p>
            <w:r>
              <w:t>LESS (buggy)</w:t>
            </w:r>
          </w:p>
        </w:tc>
        <w:tc>
          <w:tcPr>
            <w:tcW w:type="dxa" w:w="2160"/>
          </w:tcPr>
          <w:p>
            <w:r>
              <w:t>0.4831</w:t>
            </w:r>
          </w:p>
        </w:tc>
        <w:tc>
          <w:tcPr>
            <w:tcW w:type="dxa" w:w="2160"/>
          </w:tcPr>
          <w:p>
            <w:r>
              <w:t>[0.469, 0.498]</w:t>
            </w:r>
          </w:p>
        </w:tc>
        <w:tc>
          <w:tcPr>
            <w:tcW w:type="dxa" w:w="2160"/>
          </w:tcPr>
          <w:p>
            <w:r>
              <w:t>2,238</w:t>
            </w:r>
          </w:p>
        </w:tc>
      </w:tr>
    </w:tbl>
    <w:p>
      <w:r>
        <w:t>All confidence intervals overlap. The spread from best (3DS, 0.4941) to worst non-buggy method (PDS, 0.4894) is 0.0047, well within the ~0.03 CI width.</w:t>
      </w:r>
    </w:p>
    <w:p>
      <w:pPr>
        <w:pStyle w:val="Heading1"/>
      </w:pPr>
      <w:r>
        <w:t>Experiment Setup</w:t>
      </w:r>
    </w:p>
    <w:p>
      <w:r>
        <w:rPr>
          <w:b/>
        </w:rPr>
        <w:t xml:space="preserve">Pool: </w:t>
      </w:r>
      <w:r>
        <w:t>30,000 MedMCQA train records</w:t>
      </w:r>
    </w:p>
    <w:p>
      <w:r>
        <w:rPr>
          <w:b/>
        </w:rPr>
        <w:t xml:space="preserve">Token budget: </w:t>
      </w:r>
      <w:r>
        <w:t>108,080 tokens (matched to random draw of 2,000 records)</w:t>
      </w:r>
    </w:p>
    <w:p>
      <w:r>
        <w:rPr>
          <w:b/>
        </w:rPr>
        <w:t xml:space="preserve">SFT model: </w:t>
      </w:r>
      <w:r>
        <w:t>Qwen3-1.7B-Base, LoRA r=16/alpha=32, 1 epoch, lr=2e-5</w:t>
      </w:r>
    </w:p>
    <w:p>
      <w:r>
        <w:rPr>
          <w:b/>
        </w:rPr>
        <w:t xml:space="preserve">PDS proxy: </w:t>
      </w:r>
      <w:r>
        <w:t>SmolLM2-135M, fp32, full-parameter SGD</w:t>
      </w:r>
    </w:p>
    <w:p>
      <w:r>
        <w:rPr>
          <w:b/>
        </w:rPr>
        <w:t xml:space="preserve">PMP config: </w:t>
      </w:r>
      <w:r>
        <w:t>100 steps, lr=0.01, bs=2, compute_ct_interval=50 (2 scoring passes)</w:t>
      </w:r>
    </w:p>
    <w:p>
      <w:r>
        <w:rPr>
          <w:b/>
        </w:rPr>
        <w:t xml:space="preserve">Hardware: </w:t>
      </w:r>
      <w:r>
        <w:t>Quadro P5000 (15.9 GB VRAM, shared with ollama at 5.9 GB)</w:t>
      </w:r>
    </w:p>
    <w:p>
      <w:r>
        <w:rPr>
          <w:b/>
        </w:rPr>
        <w:t xml:space="preserve">Scoring time: </w:t>
      </w:r>
      <w:r>
        <w:t>~7 hours (30k records x 2 backward passes, chunk_size=1)</w:t>
      </w:r>
    </w:p>
    <w:p>
      <w:r>
        <w:rPr>
          <w:b/>
        </w:rPr>
        <w:t xml:space="preserve">Training time: </w:t>
      </w:r>
      <w:r>
        <w:t>968.7s (311 steps)</w:t>
      </w:r>
    </w:p>
    <w:p>
      <w:pPr>
        <w:pStyle w:val="Heading1"/>
      </w:pPr>
      <w:r>
        <w:t>Diagnostic 1: PDS Score Distribution</w:t>
      </w:r>
    </w:p>
    <w:p>
      <w:r>
        <w:t>The PDS scores are not degenerate. All 30,000 records received finite scores (no -inf values), confirming the full-pool scoring fix works correctly.</w:t>
      </w:r>
    </w:p>
    <w:tbl>
      <w:tblPr>
        <w:tblStyle w:val="LightShading-Accent1"/>
        <w:tblW w:type="auto" w:w="0"/>
        <w:jc w:val="left"/>
        <w:tblLook w:firstColumn="1" w:firstRow="1" w:lastColumn="0" w:lastRow="0" w:noHBand="0" w:noVBand="1" w:val="04A0"/>
      </w:tblPr>
      <w:tblGrid>
        <w:gridCol w:w="4320"/>
        <w:gridCol w:w="4320"/>
      </w:tblGrid>
      <w:tr>
        <w:tc>
          <w:tcPr>
            <w:tcW w:type="dxa" w:w="4320"/>
          </w:tcPr>
          <w:p>
            <w:r>
              <w:rPr>
                <w:b/>
              </w:rPr>
              <w:t>Statistic</w:t>
            </w:r>
          </w:p>
        </w:tc>
        <w:tc>
          <w:tcPr>
            <w:tcW w:type="dxa" w:w="4320"/>
          </w:tcPr>
          <w:p>
            <w:r>
              <w:rPr>
                <w:b/>
              </w:rPr>
              <w:t>Value</w:t>
            </w:r>
          </w:p>
        </w:tc>
      </w:tr>
      <w:tr>
        <w:tc>
          <w:tcPr>
            <w:tcW w:type="dxa" w:w="4320"/>
          </w:tcPr>
          <w:p>
            <w:r>
              <w:t>Min</w:t>
            </w:r>
          </w:p>
        </w:tc>
        <w:tc>
          <w:tcPr>
            <w:tcW w:type="dxa" w:w="4320"/>
          </w:tcPr>
          <w:p>
            <w:r>
              <w:t>-4,783.1</w:t>
            </w:r>
          </w:p>
        </w:tc>
      </w:tr>
      <w:tr>
        <w:tc>
          <w:tcPr>
            <w:tcW w:type="dxa" w:w="4320"/>
          </w:tcPr>
          <w:p>
            <w:r>
              <w:t>P25</w:t>
            </w:r>
          </w:p>
        </w:tc>
        <w:tc>
          <w:tcPr>
            <w:tcW w:type="dxa" w:w="4320"/>
          </w:tcPr>
          <w:p>
            <w:r>
              <w:t>-216.2</w:t>
            </w:r>
          </w:p>
        </w:tc>
      </w:tr>
      <w:tr>
        <w:tc>
          <w:tcPr>
            <w:tcW w:type="dxa" w:w="4320"/>
          </w:tcPr>
          <w:p>
            <w:r>
              <w:t>Median</w:t>
            </w:r>
          </w:p>
        </w:tc>
        <w:tc>
          <w:tcPr>
            <w:tcW w:type="dxa" w:w="4320"/>
          </w:tcPr>
          <w:p>
            <w:r>
              <w:t>164.7</w:t>
            </w:r>
          </w:p>
        </w:tc>
      </w:tr>
      <w:tr>
        <w:tc>
          <w:tcPr>
            <w:tcW w:type="dxa" w:w="4320"/>
          </w:tcPr>
          <w:p>
            <w:r>
              <w:t>Mean</w:t>
            </w:r>
          </w:p>
        </w:tc>
        <w:tc>
          <w:tcPr>
            <w:tcW w:type="dxa" w:w="4320"/>
          </w:tcPr>
          <w:p>
            <w:r>
              <w:t>168.5</w:t>
            </w:r>
          </w:p>
        </w:tc>
      </w:tr>
      <w:tr>
        <w:tc>
          <w:tcPr>
            <w:tcW w:type="dxa" w:w="4320"/>
          </w:tcPr>
          <w:p>
            <w:r>
              <w:t>P75</w:t>
            </w:r>
          </w:p>
        </w:tc>
        <w:tc>
          <w:tcPr>
            <w:tcW w:type="dxa" w:w="4320"/>
          </w:tcPr>
          <w:p>
            <w:r>
              <w:t>569.6</w:t>
            </w:r>
          </w:p>
        </w:tc>
      </w:tr>
      <w:tr>
        <w:tc>
          <w:tcPr>
            <w:tcW w:type="dxa" w:w="4320"/>
          </w:tcPr>
          <w:p>
            <w:r>
              <w:t>Max</w:t>
            </w:r>
          </w:p>
        </w:tc>
        <w:tc>
          <w:tcPr>
            <w:tcW w:type="dxa" w:w="4320"/>
          </w:tcPr>
          <w:p>
            <w:r>
              <w:t>4,376.4</w:t>
            </w:r>
          </w:p>
        </w:tc>
      </w:tr>
      <w:tr>
        <w:tc>
          <w:tcPr>
            <w:tcW w:type="dxa" w:w="4320"/>
          </w:tcPr>
          <w:p>
            <w:r>
              <w:t>Std</w:t>
            </w:r>
          </w:p>
        </w:tc>
        <w:tc>
          <w:tcPr>
            <w:tcW w:type="dxa" w:w="4320"/>
          </w:tcPr>
          <w:p>
            <w:r>
              <w:t>695.5</w:t>
            </w:r>
          </w:p>
        </w:tc>
      </w:tr>
      <w:tr>
        <w:tc>
          <w:tcPr>
            <w:tcW w:type="dxa" w:w="4320"/>
          </w:tcPr>
          <w:p>
            <w:r>
              <w:t>Range</w:t>
            </w:r>
          </w:p>
        </w:tc>
        <w:tc>
          <w:tcPr>
            <w:tcW w:type="dxa" w:w="4320"/>
          </w:tcPr>
          <w:p>
            <w:r>
              <w:t>9,159.4</w:t>
            </w:r>
          </w:p>
        </w:tc>
      </w:tr>
      <w:tr>
        <w:tc>
          <w:tcPr>
            <w:tcW w:type="dxa" w:w="4320"/>
          </w:tcPr>
          <w:p>
            <w:r>
              <w:t>IQR</w:t>
            </w:r>
          </w:p>
        </w:tc>
        <w:tc>
          <w:tcPr>
            <w:tcW w:type="dxa" w:w="4320"/>
          </w:tcPr>
          <w:p>
            <w:r>
              <w:t>785.8</w:t>
            </w:r>
          </w:p>
        </w:tc>
      </w:tr>
      <w:tr>
        <w:tc>
          <w:tcPr>
            <w:tcW w:type="dxa" w:w="4320"/>
          </w:tcPr>
          <w:p>
            <w:r>
              <w:t>IQR/Range</w:t>
            </w:r>
          </w:p>
        </w:tc>
        <w:tc>
          <w:tcPr>
            <w:tcW w:type="dxa" w:w="4320"/>
          </w:tcPr>
          <w:p>
            <w:r>
              <w:t>0.086</w:t>
            </w:r>
          </w:p>
        </w:tc>
      </w:tr>
    </w:tbl>
    <w:p>
      <w:r>
        <w:t>The distribution is roughly normal with a wide range (9,159 units) and clear separation between top and bottom quartiles. The top 2,500 records average +1,483 while the bottom 2,500 average -1,194 (1.24x ratio). This is not a weak or near-uniform signal. PDS is making real distinctions between records.</w:t>
      </w:r>
    </w:p>
    <w:p>
      <w:pPr>
        <w:pStyle w:val="Heading1"/>
      </w:pPr>
      <w:r>
        <w:t>Diagnostic 2: Selection Overlap (Jaccard Index)</w:t>
      </w:r>
    </w:p>
    <w:p>
      <w:r>
        <w:t>Every pair of methods selects almost entirely different records. This is true across all methods, not just PDS.</w:t>
      </w:r>
    </w:p>
    <w:tbl>
      <w:tblPr>
        <w:tblStyle w:val="LightShading-Accent1"/>
        <w:tblW w:type="auto" w:w="0"/>
        <w:jc w:val="left"/>
        <w:tblLook w:firstColumn="1" w:firstRow="1" w:lastColumn="0" w:lastRow="0" w:noHBand="0" w:noVBand="1" w:val="04A0"/>
      </w:tblPr>
      <w:tblGrid>
        <w:gridCol w:w="2160"/>
        <w:gridCol w:w="2160"/>
        <w:gridCol w:w="2160"/>
        <w:gridCol w:w="2160"/>
      </w:tblGrid>
      <w:tr>
        <w:tc>
          <w:tcPr>
            <w:tcW w:type="dxa" w:w="2160"/>
          </w:tcPr>
          <w:p>
            <w:r>
              <w:rPr>
                <w:b/>
              </w:rPr>
              <w:t>Method A</w:t>
            </w:r>
          </w:p>
        </w:tc>
        <w:tc>
          <w:tcPr>
            <w:tcW w:type="dxa" w:w="2160"/>
          </w:tcPr>
          <w:p>
            <w:r>
              <w:rPr>
                <w:b/>
              </w:rPr>
              <w:t>Method B</w:t>
            </w:r>
          </w:p>
        </w:tc>
        <w:tc>
          <w:tcPr>
            <w:tcW w:type="dxa" w:w="2160"/>
          </w:tcPr>
          <w:p>
            <w:r>
              <w:rPr>
                <w:b/>
              </w:rPr>
              <w:t>Jaccard</w:t>
            </w:r>
          </w:p>
        </w:tc>
        <w:tc>
          <w:tcPr>
            <w:tcW w:type="dxa" w:w="2160"/>
          </w:tcPr>
          <w:p>
            <w:r>
              <w:rPr>
                <w:b/>
              </w:rPr>
              <w:t>Shared Records</w:t>
            </w:r>
          </w:p>
        </w:tc>
      </w:tr>
      <w:tr>
        <w:tc>
          <w:tcPr>
            <w:tcW w:type="dxa" w:w="2160"/>
          </w:tcPr>
          <w:p>
            <w:r>
              <w:t>PDS</w:t>
            </w:r>
          </w:p>
        </w:tc>
        <w:tc>
          <w:tcPr>
            <w:tcW w:type="dxa" w:w="2160"/>
          </w:tcPr>
          <w:p>
            <w:r>
              <w:t>3DS</w:t>
            </w:r>
          </w:p>
        </w:tc>
        <w:tc>
          <w:tcPr>
            <w:tcW w:type="dxa" w:w="2160"/>
          </w:tcPr>
          <w:p>
            <w:r>
              <w:t>0.035</w:t>
            </w:r>
          </w:p>
        </w:tc>
        <w:tc>
          <w:tcPr>
            <w:tcW w:type="dxa" w:w="2160"/>
          </w:tcPr>
          <w:p>
            <w:r>
              <w:t>148</w:t>
            </w:r>
          </w:p>
        </w:tc>
      </w:tr>
      <w:tr>
        <w:tc>
          <w:tcPr>
            <w:tcW w:type="dxa" w:w="2160"/>
          </w:tcPr>
          <w:p>
            <w:r>
              <w:t>PDS</w:t>
            </w:r>
          </w:p>
        </w:tc>
        <w:tc>
          <w:tcPr>
            <w:tcW w:type="dxa" w:w="2160"/>
          </w:tcPr>
          <w:p>
            <w:r>
              <w:t>DSIR</w:t>
            </w:r>
          </w:p>
        </w:tc>
        <w:tc>
          <w:tcPr>
            <w:tcW w:type="dxa" w:w="2160"/>
          </w:tcPr>
          <w:p>
            <w:r>
              <w:t>0.052</w:t>
            </w:r>
          </w:p>
        </w:tc>
        <w:tc>
          <w:tcPr>
            <w:tcW w:type="dxa" w:w="2160"/>
          </w:tcPr>
          <w:p>
            <w:r>
              <w:t>231</w:t>
            </w:r>
          </w:p>
        </w:tc>
      </w:tr>
      <w:tr>
        <w:tc>
          <w:tcPr>
            <w:tcW w:type="dxa" w:w="2160"/>
          </w:tcPr>
          <w:p>
            <w:r>
              <w:t>PDS</w:t>
            </w:r>
          </w:p>
        </w:tc>
        <w:tc>
          <w:tcPr>
            <w:tcW w:type="dxa" w:w="2160"/>
          </w:tcPr>
          <w:p>
            <w:r>
              <w:t>Random</w:t>
            </w:r>
          </w:p>
        </w:tc>
        <w:tc>
          <w:tcPr>
            <w:tcW w:type="dxa" w:w="2160"/>
          </w:tcPr>
          <w:p>
            <w:r>
              <w:t>0.036</w:t>
            </w:r>
          </w:p>
        </w:tc>
        <w:tc>
          <w:tcPr>
            <w:tcW w:type="dxa" w:w="2160"/>
          </w:tcPr>
          <w:p>
            <w:r>
              <w:t>154</w:t>
            </w:r>
          </w:p>
        </w:tc>
      </w:tr>
      <w:tr>
        <w:tc>
          <w:tcPr>
            <w:tcW w:type="dxa" w:w="2160"/>
          </w:tcPr>
          <w:p>
            <w:r>
              <w:t>PDS</w:t>
            </w:r>
          </w:p>
        </w:tc>
        <w:tc>
          <w:tcPr>
            <w:tcW w:type="dxa" w:w="2160"/>
          </w:tcPr>
          <w:p>
            <w:r>
              <w:t>LESS</w:t>
            </w:r>
          </w:p>
        </w:tc>
        <w:tc>
          <w:tcPr>
            <w:tcW w:type="dxa" w:w="2160"/>
          </w:tcPr>
          <w:p>
            <w:r>
              <w:t>0.052</w:t>
            </w:r>
          </w:p>
        </w:tc>
        <w:tc>
          <w:tcPr>
            <w:tcW w:type="dxa" w:w="2160"/>
          </w:tcPr>
          <w:p>
            <w:r>
              <w:t>232</w:t>
            </w:r>
          </w:p>
        </w:tc>
      </w:tr>
      <w:tr>
        <w:tc>
          <w:tcPr>
            <w:tcW w:type="dxa" w:w="2160"/>
          </w:tcPr>
          <w:p>
            <w:r>
              <w:t>3DS</w:t>
            </w:r>
          </w:p>
        </w:tc>
        <w:tc>
          <w:tcPr>
            <w:tcW w:type="dxa" w:w="2160"/>
          </w:tcPr>
          <w:p>
            <w:r>
              <w:t>DSIR</w:t>
            </w:r>
          </w:p>
        </w:tc>
        <w:tc>
          <w:tcPr>
            <w:tcW w:type="dxa" w:w="2160"/>
          </w:tcPr>
          <w:p>
            <w:r>
              <w:t>0.039</w:t>
            </w:r>
          </w:p>
        </w:tc>
        <w:tc>
          <w:tcPr>
            <w:tcW w:type="dxa" w:w="2160"/>
          </w:tcPr>
          <w:p>
            <w:r>
              <w:t>152</w:t>
            </w:r>
          </w:p>
        </w:tc>
      </w:tr>
      <w:tr>
        <w:tc>
          <w:tcPr>
            <w:tcW w:type="dxa" w:w="2160"/>
          </w:tcPr>
          <w:p>
            <w:r>
              <w:t>3DS</w:t>
            </w:r>
          </w:p>
        </w:tc>
        <w:tc>
          <w:tcPr>
            <w:tcW w:type="dxa" w:w="2160"/>
          </w:tcPr>
          <w:p>
            <w:r>
              <w:t>Random</w:t>
            </w:r>
          </w:p>
        </w:tc>
        <w:tc>
          <w:tcPr>
            <w:tcW w:type="dxa" w:w="2160"/>
          </w:tcPr>
          <w:p>
            <w:r>
              <w:t>0.035</w:t>
            </w:r>
          </w:p>
        </w:tc>
        <w:tc>
          <w:tcPr>
            <w:tcW w:type="dxa" w:w="2160"/>
          </w:tcPr>
          <w:p>
            <w:r>
              <w:t>130</w:t>
            </w:r>
          </w:p>
        </w:tc>
      </w:tr>
      <w:tr>
        <w:tc>
          <w:tcPr>
            <w:tcW w:type="dxa" w:w="2160"/>
          </w:tcPr>
          <w:p>
            <w:r>
              <w:t>3DS</w:t>
            </w:r>
          </w:p>
        </w:tc>
        <w:tc>
          <w:tcPr>
            <w:tcW w:type="dxa" w:w="2160"/>
          </w:tcPr>
          <w:p>
            <w:r>
              <w:t>LESS</w:t>
            </w:r>
          </w:p>
        </w:tc>
        <w:tc>
          <w:tcPr>
            <w:tcW w:type="dxa" w:w="2160"/>
          </w:tcPr>
          <w:p>
            <w:r>
              <w:t>0.043</w:t>
            </w:r>
          </w:p>
        </w:tc>
        <w:tc>
          <w:tcPr>
            <w:tcW w:type="dxa" w:w="2160"/>
          </w:tcPr>
          <w:p>
            <w:r>
              <w:t>169</w:t>
            </w:r>
          </w:p>
        </w:tc>
      </w:tr>
      <w:tr>
        <w:tc>
          <w:tcPr>
            <w:tcW w:type="dxa" w:w="2160"/>
          </w:tcPr>
          <w:p>
            <w:r>
              <w:t>DSIR</w:t>
            </w:r>
          </w:p>
        </w:tc>
        <w:tc>
          <w:tcPr>
            <w:tcW w:type="dxa" w:w="2160"/>
          </w:tcPr>
          <w:p>
            <w:r>
              <w:t>Random</w:t>
            </w:r>
          </w:p>
        </w:tc>
        <w:tc>
          <w:tcPr>
            <w:tcW w:type="dxa" w:w="2160"/>
          </w:tcPr>
          <w:p>
            <w:r>
              <w:t>0.035</w:t>
            </w:r>
          </w:p>
        </w:tc>
        <w:tc>
          <w:tcPr>
            <w:tcW w:type="dxa" w:w="2160"/>
          </w:tcPr>
          <w:p>
            <w:r>
              <w:t>141</w:t>
            </w:r>
          </w:p>
        </w:tc>
      </w:tr>
      <w:tr>
        <w:tc>
          <w:tcPr>
            <w:tcW w:type="dxa" w:w="2160"/>
          </w:tcPr>
          <w:p>
            <w:r>
              <w:t>DSIR</w:t>
            </w:r>
          </w:p>
        </w:tc>
        <w:tc>
          <w:tcPr>
            <w:tcW w:type="dxa" w:w="2160"/>
          </w:tcPr>
          <w:p>
            <w:r>
              <w:t>LESS</w:t>
            </w:r>
          </w:p>
        </w:tc>
        <w:tc>
          <w:tcPr>
            <w:tcW w:type="dxa" w:w="2160"/>
          </w:tcPr>
          <w:p>
            <w:r>
              <w:t>0.034</w:t>
            </w:r>
          </w:p>
        </w:tc>
        <w:tc>
          <w:tcPr>
            <w:tcW w:type="dxa" w:w="2160"/>
          </w:tcPr>
          <w:p>
            <w:r>
              <w:t>147</w:t>
            </w:r>
          </w:p>
        </w:tc>
      </w:tr>
      <w:tr>
        <w:tc>
          <w:tcPr>
            <w:tcW w:type="dxa" w:w="2160"/>
          </w:tcPr>
          <w:p>
            <w:r>
              <w:t>Random</w:t>
            </w:r>
          </w:p>
        </w:tc>
        <w:tc>
          <w:tcPr>
            <w:tcW w:type="dxa" w:w="2160"/>
          </w:tcPr>
          <w:p>
            <w:r>
              <w:t>LESS</w:t>
            </w:r>
          </w:p>
        </w:tc>
        <w:tc>
          <w:tcPr>
            <w:tcW w:type="dxa" w:w="2160"/>
          </w:tcPr>
          <w:p>
            <w:r>
              <w:t>0.036</w:t>
            </w:r>
          </w:p>
        </w:tc>
        <w:tc>
          <w:tcPr>
            <w:tcW w:type="dxa" w:w="2160"/>
          </w:tcPr>
          <w:p>
            <w:r>
              <w:t>149</w:t>
            </w:r>
          </w:p>
        </w:tc>
      </w:tr>
    </w:tbl>
    <w:p>
      <w:r>
        <w:t>Jaccard similarity between any pair is 0.03 to 0.05 (3-5%). PDS shares only 6.2% of its selection with random (154 of 2,482 records). But 3DS vs random overlap is equally low (3.5%). Every method finds a different 'good' subset, yet all land at the same accuracy.</w:t>
      </w:r>
    </w:p>
    <w:p>
      <w:pPr>
        <w:pStyle w:val="Heading1"/>
      </w:pPr>
      <w:r>
        <w:t>Interpretation</w:t>
      </w:r>
    </w:p>
    <w:p>
      <w:pPr>
        <w:pStyle w:val="Heading2"/>
      </w:pPr>
      <w:r>
        <w:t>Why PDS underperforms expectations</w:t>
      </w:r>
    </w:p>
    <w:p>
      <w:r>
        <w:t>1. The regime is the bottleneck, not PDS. At 6.7% budget (2,000-2,500 of 30,000 records), MedMCQA has many equally effective subsets. The low pairwise overlap between all methods (3-5%) combined with near-identical accuracy (0.483-0.494) is the signature of a regime where selection does not matter much. This is consistent with Jeong et al.'s finding that selection methods converge to random at moderate budgets.</w:t>
      </w:r>
    </w:p>
    <w:p>
      <w:r>
        <w:t>2. Proxy model mismatch. PDS computes scores using SmolLM2-135M (LLaMA-family, 135M params) but the SFT model is Qwen3-1.7B (Qwen-family, 1.7B). The paper notes that 'small language models estimate data quality primarily through shallow patterns' and that 'complex learning information encoded in scores from larger proxy models is harder for smaller scorers to fit.' The proxy's notion of useful data may not transfer to a 12x larger model from a different family.</w:t>
      </w:r>
    </w:p>
    <w:p>
      <w:r>
        <w:t>3. Only 2 scoring passes. With compute_ct_interval=50 over 100 PMP steps, we score the pool at only 2 backward steps (step 50 and step 0). The reference implementation uses compute_ct_interval=10, giving 10 passes. Fewer passes means noisier score estimates, especially for records whose contribution varies across the trajectory.</w:t>
      </w:r>
    </w:p>
    <w:p>
      <w:r>
        <w:t>4. PDS was designed for pretraining, not SFT. The original paper selects data from CommonCrawl for pretraining runs of 400B+ tokens. SFT at 108K tokens is a fundamentally different regime: the training trajectory is short (311 steps), leaving less signal for the adjoint equation to propagate. The optimal control formulation has less 'trajectory' to optimize over.</w:t>
      </w:r>
    </w:p>
    <w:p>
      <w:pPr>
        <w:pStyle w:val="Heading2"/>
      </w:pPr>
      <w:r>
        <w:t>Literature Context</w:t>
      </w:r>
    </w:p>
    <w:p>
      <w:r>
        <w:t>Random selection is competitive in low-budget medical SFT. Research on MedMCQA shows random achieving 56.75 accuracy, competitive with dedicated methods like Alpagasus (56.90) and beating IFD (55.92) and DEITA (55.10) (arxiv 2411.08870). At 0.1-0.2% budgets, random remains competitive with CoreSet and SC-Entropy.</w:t>
      </w:r>
    </w:p>
    <w:p>
      <w:r>
        <w:t>Low overlap between methods is a known phenomenon. In neural machine translation, the top 40% selected by LASER vs DCCE overlap only 47%, yet perform equally well. Recent work on redundancy-aware selection (RL-Selector, arxiv 2506.21037) shows that optimal subsets are strongly budget-specific and that 'epsilon-covered samples have similar impact on training,' explaining why dissimilar subsets achieve similar accuracy.</w:t>
      </w:r>
    </w:p>
    <w:p>
      <w:r>
        <w:t>Proxy-to-target transfer is fragile. Research on proxy model reliability (arxiv 2512.24503) raises 'doubts about whether small models can reliably select data mixtures for larger models.' The Influence-Preserving Proxies work (arxiv 2602.17835) explicitly addresses proxy-target alignment for gradient-based selection in LLM fine-tuning, suggesting off-the-shelf proxies are suboptimal.</w:t>
      </w:r>
    </w:p>
    <w:p>
      <w:pPr>
        <w:pStyle w:val="Heading1"/>
      </w:pPr>
      <w:r>
        <w:t>Actionable Next Steps</w:t>
      </w:r>
    </w:p>
    <w:p>
      <w:r>
        <w:rPr>
          <w:b/>
        </w:rPr>
        <w:t xml:space="preserve">Increase scoring passes (medium effort, high diagnostic value). </w:t>
      </w:r>
      <w:r>
        <w:t>Rerun with compute_ct_interval=10 (10 passes instead of 2). Cost: ~35 hours on P5000. This isolates whether the noisy 2-pass estimate is the bottleneck.</w:t>
      </w:r>
    </w:p>
    <w:p>
      <w:r>
        <w:rPr>
          <w:b/>
        </w:rPr>
        <w:t xml:space="preserve">Tighter budget or larger pool (low effort). </w:t>
      </w:r>
      <w:r>
        <w:t>Run all methods at 2% budget instead of 6.7%, or expand the pool to the full ~182K MedMCQA train. Selection methods should separate more when the budget forces harder tradeoffs.</w:t>
      </w:r>
    </w:p>
    <w:p>
      <w:r>
        <w:rPr>
          <w:b/>
        </w:rPr>
        <w:t xml:space="preserve">Closer proxy model (medium effort). </w:t>
      </w:r>
      <w:r>
        <w:t>Try Qwen3-0.6B as the PDS proxy (same family as the SFT model). Requires ~2.4 GB in fp32, tight but feasible alongside ollama. Addresses the proxy-target mismatch directly.</w:t>
      </w:r>
    </w:p>
    <w:p>
      <w:r>
        <w:rPr>
          <w:b/>
        </w:rPr>
        <w:t xml:space="preserve">Accept the finding (no effort). </w:t>
      </w:r>
      <w:r>
        <w:t>The result is consistent with the project's broader finding that selection methods do not clearly separate from random on MedMCQA at moderate budgets. PDS adds another data point to that conclusion. Write it up as a negative result with the diagnostic evidence.</w:t>
      </w:r>
    </w:p>
    <w:p>
      <w:pPr>
        <w:pStyle w:val="Heading1"/>
      </w:pPr>
      <w:r>
        <w:t>Sources</w:t>
      </w:r>
    </w:p>
    <w:p>
      <w:pPr>
        <w:pStyle w:val="ListBullet"/>
      </w:pPr>
      <w:r>
        <w:t>Gu et al. (2025). Data Selection via Optimal Control for Language Models. ICLR 2025. arxiv.org/abs/2410.07064</w:t>
      </w:r>
    </w:p>
    <w:p>
      <w:pPr>
        <w:pStyle w:val="ListBullet"/>
      </w:pPr>
      <w:r>
        <w:t>Jeong et al. (2024). 3DS: Decomposed Difficulty Data Selection's Case Study on LLM Fine-Tuning.</w:t>
      </w:r>
    </w:p>
    <w:p>
      <w:pPr>
        <w:pStyle w:val="ListBullet"/>
      </w:pPr>
      <w:r>
        <w:t>Van Sonsbeek et al. (2025). The Limited Impact of Medical Adaptation of Large Language and Vision-Language Models. arxiv 2411.08870</w:t>
      </w:r>
    </w:p>
    <w:p>
      <w:pPr>
        <w:pStyle w:val="ListBullet"/>
      </w:pPr>
      <w:r>
        <w:t>Chen et al. (2025). Can Small Training Runs Reliably Guide Data Curation? arxiv 2512.24503</w:t>
      </w:r>
    </w:p>
    <w:p>
      <w:pPr>
        <w:pStyle w:val="ListBullet"/>
      </w:pPr>
      <w:r>
        <w:t>Li et al. (2025). Influence-Preserving Proxies for Gradient-Based Data Selection in LLM Fine-tuning. arxiv 2602.17835</w:t>
      </w:r>
    </w:p>
    <w:p>
      <w:pPr>
        <w:pStyle w:val="ListBullet"/>
      </w:pPr>
      <w:r>
        <w:t>RL-Selector (2025). Reinforcement Learning-Guided Data Selection via Redundancy Assessment. arxiv 2506.21037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