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Projeto Damas na Escola — Damas Internacionais 10×10 (Escola Russa)</w:t>
      </w:r>
    </w:p>
    <w:p>
      <w:pPr/>
      <w:r>
        <w:t xml:space="preserve">Oct 7, 2026</w:t>
      </w:r>
      <w:r>
        <w:t xml:space="preserve"> · </w:t>
      </w:r>
      <w:r>
        <w:t xml:space="preserve">@Wildemarkes</w:t>
      </w:r>
    </w:p>
    <w:p>
      <w:pPr>
        <w:pStyle w:val="Heading2"/>
      </w:pPr>
      <w:r>
        <w:t xml:space="preserve">1. Identificação, apresentação e justificativa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Descrição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Nome do projeto</w:t>
            </w:r>
          </w:p>
        </w:tc>
        <w:tc>
          <w:tcPr>
            <w:tcW w:w="4680" w:type="dxa"/>
          </w:tcPr>
          <w:p>
            <w:pPr/>
            <w:r>
              <w:t xml:space="preserve">Damas na Escola — Damas Internacionais 10×10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Modalidade</w:t>
            </w:r>
          </w:p>
        </w:tc>
        <w:tc>
          <w:tcPr>
            <w:tcW w:w="4680" w:type="dxa"/>
          </w:tcPr>
          <w:p>
            <w:pPr/>
            <w:r>
              <w:t xml:space="preserve">Damas internacionais (tabuleiro de 100 casas, 20 peças por jogador), regras FMJD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Linha metodológica</w:t>
            </w:r>
          </w:p>
        </w:tc>
        <w:tc>
          <w:tcPr>
            <w:tcW w:w="4680" w:type="dxa"/>
          </w:tcPr>
          <w:p>
            <w:pPr/>
            <w:r>
              <w:t xml:space="preserve">Escola russa de treinamento: progressão por níveis, resolução diária de posições, estudo de finais desde cedo e análise de partidas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Coordenação técnica</w:t>
            </w:r>
          </w:p>
        </w:tc>
        <w:tc>
          <w:tcPr>
            <w:tcW w:w="4680" w:type="dxa"/>
          </w:tcPr>
          <w:p>
            <w:pPr/>
            <w:r>
              <w:t xml:space="preserve">Prof. Me. Wildemarkes Almeida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Parceria proposta</w:t>
            </w:r>
          </w:p>
        </w:tc>
        <w:tc>
          <w:tcPr>
            <w:tcW w:w="4680" w:type="dxa"/>
          </w:tcPr>
          <w:p>
            <w:pPr/>
            <w:r>
              <w:t xml:space="preserve">Federação Maranhense de Jogos de Dama (FMJDM), secretarias municipais/estadual de educação e escolas participantes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Duração</w:t>
            </w:r>
          </w:p>
        </w:tc>
        <w:tc>
          <w:tcPr>
            <w:tcW w:w="4680" w:type="dxa"/>
          </w:tcPr>
          <w:p>
            <w:pPr/>
            <w:r>
              <w:t xml:space="preserve">1 ano letivo (2 semestres), renovável, com 3 níveis progressivos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Carga horária</w:t>
            </w:r>
          </w:p>
        </w:tc>
        <w:tc>
          <w:tcPr>
            <w:tcW w:w="4680" w:type="dxa"/>
          </w:tcPr>
          <w:p>
            <w:pPr/>
            <w:r>
              <w:t xml:space="preserve">2 h/aula por semana por turma — 80 h/aula por ano</w:t>
            </w:r>
          </w:p>
        </w:tc>
      </w:tr>
    </w:tbl>
    <w:p>
      <w:pPr/>
      <w:r>
        <w:t xml:space="preserve">O projeto leva o jogo de damas internacionais para a escola como ferramenta pedagógica e esportiva. A proposta é ensinar o jogo de forma sistemática, com plano de ensino, ementa, conteúdo progressivo e avaliação, e não apenas como passatempo de recreio.</w:t>
      </w:r>
    </w:p>
    <w:p>
      <w:pPr/>
      <w:r>
        <w:rPr>
          <w:b/>
        </w:rPr>
        <w:t xml:space="preserve">Por que damas.</w:t>
      </w:r>
      <w:r>
        <w:t xml:space="preserve"> O jogo é barato, conhecido pelas famílias brasileiras e fácil de começar. Ao mesmo tempo, a versão 10×10 é profunda o bastante para sustentar anos de estudo e competição de alto nível.</w:t>
      </w:r>
    </w:p>
    <w:p>
      <w:pPr/>
      <w:r>
        <w:rPr>
          <w:b/>
        </w:rPr>
        <w:t xml:space="preserve">Por que o tabuleiro 10×10.</w:t>
      </w:r>
      <w:r>
        <w:t xml:space="preserve"> É a modalidade oficial da Federação Mundial de Jogo de Damas (FMJD), disputada em Mundiais, Olimpíadas da Mente e Jogos Mundiais da Mente. Ensinar o 10×10 desde a escola abre caminho direto para o circuito oficial, sem a necessidade de "reaprender" um jogo diferente.</w:t>
      </w:r>
    </w:p>
    <w:p>
      <w:pPr/>
      <w:r>
        <w:rPr>
          <w:b/>
        </w:rPr>
        <w:t xml:space="preserve">Por que a escola russa.</w:t>
      </w:r>
      <w:r>
        <w:t xml:space="preserve"> A Rússia e a antiga escola soviética formaram boa parte dos campeões mundiais da modalidade. Seu método organiza o ensino em etapas claras, com metas por nível, grande volume de exercícios táticos, estudo de finais desde o início e análise sistemática das próprias partidas. É um modelo testado, mensurável e adaptável à escola.</w:t>
      </w:r>
    </w:p>
    <w:p>
      <w:pPr/>
      <w:r>
        <w:rPr>
          <w:b/>
        </w:rPr>
        <w:t xml:space="preserve">Problema que o projeto enfrenta.</w:t>
      </w:r>
      <w:r>
        <w:t xml:space="preserve"> Baixo desempenho em raciocínio lógico e matemática, dificuldade de concentração e poucas atividades extracurriculares estruturadas na rede pública. O jogo de damas atua nesses pontos com custo baixo e alta adesão dos alunos.</w:t>
      </w:r>
    </w:p>
    <w:p>
      <w:pPr>
        <w:pStyle w:val="Heading2"/>
      </w:pPr>
      <w:r>
        <w:t xml:space="preserve">2. Objetivos</w:t>
      </w:r>
    </w:p>
    <w:p>
      <w:pPr/>
      <w:r>
        <w:rPr>
          <w:b/>
        </w:rPr>
        <w:t xml:space="preserve">Objetivo geral:</w:t>
      </w:r>
      <w:r>
        <w:t xml:space="preserve"> desenvolver o raciocínio lógico, a concentração e as competências socioemocionais dos estudantes por meio do ensino sistemático das damas internacionais 10×10, segundo a metodologia da escola russa, formando também uma base de atletas escolares para o esporte.</w:t>
      </w:r>
    </w:p>
    <w:p>
      <w:pPr/>
      <w:r>
        <w:rPr>
          <w:b/>
        </w:rPr>
        <w:t xml:space="preserve">Objetivos específicos:</w:t>
      </w:r>
    </w:p>
    <w:p>
      <w:pPr>
        <w:pStyle w:val="ListParagraph"/>
        <w:numPr>
          <w:ilvl w:val="0"/>
          <w:numId w:val="2"/>
        </w:numPr>
      </w:pPr>
      <w:r>
        <w:t xml:space="preserve">Ensinar as regras oficiais da FMJD, a notação numérica e a conduta esportiva (fair play, uso do relógio, registro de partidas).</w:t>
      </w:r>
    </w:p>
    <w:p>
      <w:pPr>
        <w:pStyle w:val="ListParagraph"/>
        <w:numPr>
          <w:ilvl w:val="0"/>
          <w:numId w:val="2"/>
        </w:numPr>
      </w:pPr>
      <w:r>
        <w:t xml:space="preserve">Desenvolver a visão tática por meio da resolução regular de combinações, do golpe simples ao golpe de múltiplos lances.</w:t>
      </w:r>
    </w:p>
    <w:p>
      <w:pPr>
        <w:pStyle w:val="ListParagraph"/>
        <w:numPr>
          <w:ilvl w:val="0"/>
          <w:numId w:val="2"/>
        </w:numPr>
      </w:pPr>
      <w:r>
        <w:t xml:space="preserve">Ensinar finais fundamentais e posições-tipo do jogo de meio.</w:t>
      </w:r>
    </w:p>
    <w:p>
      <w:pPr>
        <w:pStyle w:val="ListParagraph"/>
        <w:numPr>
          <w:ilvl w:val="0"/>
          <w:numId w:val="2"/>
        </w:numPr>
      </w:pPr>
      <w:r>
        <w:t xml:space="preserve">Introduzir princípios estratégicos: centro, tempo, desenvolvimento, posto avançado (kol), estruturas clássicas.</w:t>
      </w:r>
    </w:p>
    <w:p>
      <w:pPr>
        <w:pStyle w:val="ListParagraph"/>
        <w:numPr>
          <w:ilvl w:val="0"/>
          <w:numId w:val="2"/>
        </w:numPr>
      </w:pPr>
      <w:r>
        <w:t xml:space="preserve">Formar o hábito de analisar as próprias partidas e de estudar com autonomia.</w:t>
      </w:r>
    </w:p>
    <w:p>
      <w:pPr>
        <w:pStyle w:val="ListParagraph"/>
        <w:numPr>
          <w:ilvl w:val="0"/>
          <w:numId w:val="2"/>
        </w:numPr>
      </w:pPr>
      <w:r>
        <w:t xml:space="preserve">Relacionar o jogo com Matemática (coordenadas, contagem, padrões, lógica) e com valores de convivência.</w:t>
      </w:r>
    </w:p>
    <w:p>
      <w:pPr>
        <w:pStyle w:val="ListParagraph"/>
        <w:numPr>
          <w:ilvl w:val="0"/>
          <w:numId w:val="2"/>
        </w:numPr>
      </w:pPr>
      <w:r>
        <w:t xml:space="preserve">Realizar torneios internos e intercolegiais e inscrever os destaques em competições da FMJDM e da Confederação Brasileira de Damas (CBD).</w:t>
      </w:r>
    </w:p>
    <w:p>
      <w:pPr>
        <w:pStyle w:val="ListParagraph"/>
        <w:numPr>
          <w:ilvl w:val="0"/>
          <w:numId w:val="2"/>
        </w:numPr>
      </w:pPr>
      <w:r>
        <w:t xml:space="preserve">Capacitar professores da rede para multiplicar o projeto.</w:t>
      </w:r>
    </w:p>
    <w:p>
      <w:pPr>
        <w:pStyle w:val="Heading2"/>
      </w:pPr>
      <w:r>
        <w:t xml:space="preserve">3. Benefícios e alinhamento à BNCC</w:t>
      </w:r>
    </w:p>
    <w:p>
      <w:pPr/>
      <w:r>
        <w:t xml:space="preserve">Os benefícios esperados são reais, mas moderados, e dependem de carga horária mínima. A maior parte das pesquisas é sobre xadrez, jogo de estrutura cognitiva semelhante: a meta-análise de Sala e Gobet (2016), com 24 estudos e 5.221 alunos, encontrou efeito médio de 0,34 nas habilidades cognitivas e acadêmicas e de 0,38 em Matemática, chegando a 0,43 quando a instrução passou de 25 horas. Os mesmos autores alertam que poucos estudos usaram grupo controle ativo, então parte do ganho pode vir da motivação. Por isso o projeto prevê 80 h/aula anuais e avaliação própria (seção 9).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Dimensão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Benefício esperado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Como o projeto trabalha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Cognitiva</w:t>
            </w:r>
          </w:p>
        </w:tc>
        <w:tc>
          <w:tcPr>
            <w:tcW w:w="3120" w:type="dxa"/>
          </w:tcPr>
          <w:p>
            <w:pPr/>
            <w:r>
              <w:t xml:space="preserve">Raciocínio lógico, cálculo de variantes, memória de trabalho, reconhecimento de padrões</w:t>
            </w:r>
          </w:p>
        </w:tc>
        <w:tc>
          <w:tcPr>
            <w:tcW w:w="3120" w:type="dxa"/>
          </w:tcPr>
          <w:p>
            <w:pPr/>
            <w:r>
              <w:t xml:space="preserve">Resolução diária de combinações e cálculo de lances "às cegas"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Matemática</w:t>
            </w:r>
          </w:p>
        </w:tc>
        <w:tc>
          <w:tcPr>
            <w:tcW w:w="3120" w:type="dxa"/>
          </w:tcPr>
          <w:p>
            <w:pPr/>
            <w:r>
              <w:t xml:space="preserve">Coordenadas, contagem, paridade, simetria, noção de algoritmo</w:t>
            </w:r>
          </w:p>
        </w:tc>
        <w:tc>
          <w:tcPr>
            <w:tcW w:w="3120" w:type="dxa"/>
          </w:tcPr>
          <w:p>
            <w:pPr/>
            <w:r>
              <w:t xml:space="preserve">Notação 1–50, contagem de tempos, finais com oposição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Atenção e autocontrole</w:t>
            </w:r>
          </w:p>
        </w:tc>
        <w:tc>
          <w:tcPr>
            <w:tcW w:w="3120" w:type="dxa"/>
          </w:tcPr>
          <w:p>
            <w:pPr/>
            <w:r>
              <w:t xml:space="preserve">Concentração prolongada, controle da impulsividade</w:t>
            </w:r>
          </w:p>
        </w:tc>
        <w:tc>
          <w:tcPr>
            <w:tcW w:w="3120" w:type="dxa"/>
          </w:tcPr>
          <w:p>
            <w:pPr/>
            <w:r>
              <w:t xml:space="preserve">Partidas com relógio e regra de "peça tocada, peça jogada"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Socioemocional</w:t>
            </w:r>
          </w:p>
        </w:tc>
        <w:tc>
          <w:tcPr>
            <w:tcW w:w="3120" w:type="dxa"/>
          </w:tcPr>
          <w:p>
            <w:pPr/>
            <w:r>
              <w:t xml:space="preserve">Lidar com derrota, respeito ao adversário, persistência</w:t>
            </w:r>
          </w:p>
        </w:tc>
        <w:tc>
          <w:tcPr>
            <w:tcW w:w="3120" w:type="dxa"/>
          </w:tcPr>
          <w:p>
            <w:pPr/>
            <w:r>
              <w:t xml:space="preserve">Fair play, análise conjunta pós-partida, torneios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Autonomia</w:t>
            </w:r>
          </w:p>
        </w:tc>
        <w:tc>
          <w:tcPr>
            <w:tcW w:w="3120" w:type="dxa"/>
          </w:tcPr>
          <w:p>
            <w:pPr/>
            <w:r>
              <w:t xml:space="preserve">Hábito de estudo e autoavaliação</w:t>
            </w:r>
          </w:p>
        </w:tc>
        <w:tc>
          <w:tcPr>
            <w:tcW w:w="3120" w:type="dxa"/>
          </w:tcPr>
          <w:p>
            <w:pPr/>
            <w:r>
              <w:t xml:space="preserve">Caderno de partidas e plataformas online de exercícios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Inclusão</w:t>
            </w:r>
          </w:p>
        </w:tc>
        <w:tc>
          <w:tcPr>
            <w:tcW w:w="3120" w:type="dxa"/>
          </w:tcPr>
          <w:p>
            <w:pPr/>
            <w:r>
              <w:t xml:space="preserve">Participação igual de meninos e meninas, alunos com deficiência física</w:t>
            </w:r>
          </w:p>
        </w:tc>
        <w:tc>
          <w:tcPr>
            <w:tcW w:w="3120" w:type="dxa"/>
          </w:tcPr>
          <w:p>
            <w:pPr/>
            <w:r>
              <w:t xml:space="preserve">Jogo sem exigência física, tabuleiros adaptados (tátil para cegos)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Esportiva</w:t>
            </w:r>
          </w:p>
        </w:tc>
        <w:tc>
          <w:tcPr>
            <w:tcW w:w="3120" w:type="dxa"/>
          </w:tcPr>
          <w:p>
            <w:pPr/>
            <w:r>
              <w:t xml:space="preserve">Acesso ao esporte federado e a bolsas e jogos escolares</w:t>
            </w:r>
          </w:p>
        </w:tc>
        <w:tc>
          <w:tcPr>
            <w:tcW w:w="3120" w:type="dxa"/>
          </w:tcPr>
          <w:p>
            <w:pPr/>
            <w:r>
              <w:t xml:space="preserve">Ranking interno, torneios FMJDM/CBD</w:t>
            </w:r>
          </w:p>
        </w:tc>
      </w:tr>
    </w:tbl>
    <w:p>
      <w:pPr/>
      <w:r>
        <w:rPr>
          <w:b/>
        </w:rPr>
        <w:t xml:space="preserve">Alinhamento à BNCC.</w:t>
      </w:r>
      <w:r>
        <w:t xml:space="preserve"> O projeto dialoga com as competências gerais 2 (pensamento científico, crítico e criativo), 8 (autoconhecimento e autocuidado), 9 (empatia e cooperação) e 10 (responsabilidade e cidadania). Em Matemática, apoia localização e coordenadas, padrões e raciocínio lógico; em Educação Física, a unidade de jogos e esportes; e no pensamento computacional, a decomposição de problemas e a busca de sequências de lances.</w:t>
      </w:r>
    </w:p>
    <w:p>
      <w:pPr>
        <w:pStyle w:val="Heading2"/>
      </w:pPr>
      <w:r>
        <w:t xml:space="preserve">4. Público-alvo e organização</w:t>
      </w:r>
    </w:p>
    <w:p>
      <w:pPr/>
      <w:r>
        <w:t xml:space="preserve">O projeto atende alunos do 3º ano do Ensino Fundamental ao Ensino Médio, divididos por nível de jogo e não por idade. A idade mínima de 8 anos acompanha o padrão russo, que inicia a formação sistemática entre 6 e 8 anos.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Nível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Perfil do aluno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Turma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Duração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Carga horária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 — Iniciação</w:t>
            </w:r>
          </w:p>
        </w:tc>
        <w:tc>
          <w:tcPr>
            <w:tcW w:w="1872" w:type="dxa"/>
          </w:tcPr>
          <w:p>
            <w:pPr/>
            <w:r>
              <w:t xml:space="preserve">Não conhece as regras oficiais 10×10</w:t>
            </w:r>
          </w:p>
        </w:tc>
        <w:tc>
          <w:tcPr>
            <w:tcW w:w="1872" w:type="dxa"/>
          </w:tcPr>
          <w:p>
            <w:pPr/>
            <w:r>
              <w:t xml:space="preserve">até 20 alunos</w:t>
            </w:r>
          </w:p>
        </w:tc>
        <w:tc>
          <w:tcPr>
            <w:tcW w:w="1872" w:type="dxa"/>
          </w:tcPr>
          <w:p>
            <w:pPr/>
            <w:r>
              <w:t xml:space="preserve">1 ano letivo</w:t>
            </w:r>
          </w:p>
        </w:tc>
        <w:tc>
          <w:tcPr>
            <w:tcW w:w="1872" w:type="dxa"/>
          </w:tcPr>
          <w:p>
            <w:pPr/>
            <w:r>
              <w:t xml:space="preserve">80 h/aula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 — Desenvolvimento</w:t>
            </w:r>
          </w:p>
        </w:tc>
        <w:tc>
          <w:tcPr>
            <w:tcW w:w="1872" w:type="dxa"/>
          </w:tcPr>
          <w:p>
            <w:pPr/>
            <w:r>
              <w:t xml:space="preserve">Concluiu o Nível 1 ou já joga com notação</w:t>
            </w:r>
          </w:p>
        </w:tc>
        <w:tc>
          <w:tcPr>
            <w:tcW w:w="1872" w:type="dxa"/>
          </w:tcPr>
          <w:p>
            <w:pPr/>
            <w:r>
              <w:t xml:space="preserve">até 15 alunos</w:t>
            </w:r>
          </w:p>
        </w:tc>
        <w:tc>
          <w:tcPr>
            <w:tcW w:w="1872" w:type="dxa"/>
          </w:tcPr>
          <w:p>
            <w:pPr/>
            <w:r>
              <w:t xml:space="preserve">1 ano letivo</w:t>
            </w:r>
          </w:p>
        </w:tc>
        <w:tc>
          <w:tcPr>
            <w:tcW w:w="1872" w:type="dxa"/>
          </w:tcPr>
          <w:p>
            <w:pPr/>
            <w:r>
              <w:t xml:space="preserve">80 h/aula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3 — Aperfeiçoamento (equipe da escola)</w:t>
            </w:r>
          </w:p>
        </w:tc>
        <w:tc>
          <w:tcPr>
            <w:tcW w:w="1872" w:type="dxa"/>
          </w:tcPr>
          <w:p>
            <w:pPr/>
            <w:r>
              <w:t xml:space="preserve">Concluiu o Nível 2 e compete</w:t>
            </w:r>
          </w:p>
        </w:tc>
        <w:tc>
          <w:tcPr>
            <w:tcW w:w="1872" w:type="dxa"/>
          </w:tcPr>
          <w:p>
            <w:pPr/>
            <w:r>
              <w:t xml:space="preserve">até 10 alunos</w:t>
            </w:r>
          </w:p>
        </w:tc>
        <w:tc>
          <w:tcPr>
            <w:tcW w:w="1872" w:type="dxa"/>
          </w:tcPr>
          <w:p>
            <w:pPr/>
            <w:r>
              <w:t xml:space="preserve">contínuo</w:t>
            </w:r>
          </w:p>
        </w:tc>
        <w:tc>
          <w:tcPr>
            <w:tcW w:w="1872" w:type="dxa"/>
          </w:tcPr>
          <w:p>
            <w:pPr/>
            <w:r>
              <w:t xml:space="preserve">80 h/aula + torneios</w:t>
            </w:r>
          </w:p>
        </w:tc>
      </w:tr>
    </w:tbl>
    <w:p>
      <w:pPr>
        <w:pStyle w:val="ListParagraph"/>
        <w:numPr>
          <w:ilvl w:val="0"/>
          <w:numId w:val="3"/>
        </w:numPr>
      </w:pPr>
      <w:r>
        <w:rPr>
          <w:b/>
        </w:rPr>
        <w:t xml:space="preserve">Frequência:</w:t>
      </w:r>
      <w:r>
        <w:t xml:space="preserve"> 2 h/aula por semana (um encontro de 100 min ou dois de 50 min), 40 semanas por ano.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Formato:</w:t>
      </w:r>
      <w:r>
        <w:t xml:space="preserve"> contraturno (atividade extracurricular) ou integrado à parte diversificada do currículo / itinerário formativo.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Professor:</w:t>
      </w:r>
      <w:r>
        <w:t xml:space="preserve"> um professor-instrutor por turma, com apoio de monitores (alunos do Nível 3).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Torneio interno:</w:t>
      </w:r>
      <w:r>
        <w:t xml:space="preserve"> um por mês, fora da carga horária regular.</w:t>
      </w:r>
    </w:p>
    <w:p>
      <w:pPr>
        <w:pStyle w:val="Heading2"/>
      </w:pPr>
      <w:r>
        <w:t xml:space="preserve">5. Fundamentação</w:t>
      </w:r>
    </w:p>
    <w:p>
      <w:pPr>
        <w:pStyle w:val="Heading3"/>
      </w:pPr>
      <w:r>
        <w:t xml:space="preserve">5.1 Damas internacionais 10×10 — regras essenciais (FMJD)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Regra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Como funciona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Tabuleiro</w:t>
            </w:r>
          </w:p>
        </w:tc>
        <w:tc>
          <w:tcPr>
            <w:tcW w:w="4680" w:type="dxa"/>
          </w:tcPr>
          <w:p>
            <w:pPr/>
            <w:r>
              <w:t xml:space="preserve">100 casas, joga-se nas 50 escuras; casa escura no canto inferior esquerdo de cada jogador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Peças</w:t>
            </w:r>
          </w:p>
        </w:tc>
        <w:tc>
          <w:tcPr>
            <w:tcW w:w="4680" w:type="dxa"/>
          </w:tcPr>
          <w:p>
            <w:pPr/>
            <w:r>
              <w:t xml:space="preserve">20 por jogador; pretas nas casas 1–20, brancas nas casas 31–50; as brancas começam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Movimento da pedra</w:t>
            </w:r>
          </w:p>
        </w:tc>
        <w:tc>
          <w:tcPr>
            <w:tcW w:w="4680" w:type="dxa"/>
          </w:tcPr>
          <w:p>
            <w:pPr/>
            <w:r>
              <w:t xml:space="preserve">Uma casa na diagonal, sempre para frente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Captura da pedra</w:t>
            </w:r>
          </w:p>
        </w:tc>
        <w:tc>
          <w:tcPr>
            <w:tcW w:w="4680" w:type="dxa"/>
          </w:tcPr>
          <w:p>
            <w:pPr/>
            <w:r>
              <w:t xml:space="preserve">Para frente </w:t>
            </w:r>
            <w:r>
              <w:rPr>
                <w:b/>
              </w:rPr>
              <w:t xml:space="preserve">e para trás</w:t>
            </w:r>
            <w:r>
              <w:t xml:space="preserve">, em cadeia, enquanto houver peça a capturar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Dama</w:t>
            </w:r>
          </w:p>
        </w:tc>
        <w:tc>
          <w:tcPr>
            <w:tcW w:w="4680" w:type="dxa"/>
          </w:tcPr>
          <w:p>
            <w:pPr/>
            <w:r>
              <w:t xml:space="preserve">Move-se e captura à distância ao longo da diagonal ("dama voadora")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Captura obrigatória</w:t>
            </w:r>
          </w:p>
        </w:tc>
        <w:tc>
          <w:tcPr>
            <w:tcW w:w="4680" w:type="dxa"/>
          </w:tcPr>
          <w:p>
            <w:pPr/>
            <w:r>
              <w:t xml:space="preserve">Capturar é obrigatório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Lei da maioria</w:t>
            </w:r>
          </w:p>
        </w:tc>
        <w:tc>
          <w:tcPr>
            <w:tcW w:w="4680" w:type="dxa"/>
          </w:tcPr>
          <w:p>
            <w:pPr/>
            <w:r>
              <w:t xml:space="preserve">Deve-se capturar o maior número de peças possível; dama e pedra valem igual nessa contagem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Remoção</w:t>
            </w:r>
          </w:p>
        </w:tc>
        <w:tc>
          <w:tcPr>
            <w:tcW w:w="4680" w:type="dxa"/>
          </w:tcPr>
          <w:p>
            <w:pPr/>
            <w:r>
              <w:t xml:space="preserve">As peças só saem do tabuleiro ao fim do lance; uma peça não pode ser saltada duas vezes ("golpe turco")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Promoção</w:t>
            </w:r>
          </w:p>
        </w:tc>
        <w:tc>
          <w:tcPr>
            <w:tcW w:w="4680" w:type="dxa"/>
          </w:tcPr>
          <w:p>
            <w:pPr/>
            <w:r>
              <w:t xml:space="preserve">Só se a pedra </w:t>
            </w:r>
            <w:r>
              <w:rPr>
                <w:b/>
              </w:rPr>
              <w:t xml:space="preserve">terminar</w:t>
            </w:r>
            <w:r>
              <w:t xml:space="preserve"> o lance na última fileira; se apenas passar por ela durante uma captura, continua pedra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Empate</w:t>
            </w:r>
          </w:p>
        </w:tc>
        <w:tc>
          <w:tcPr>
            <w:tcW w:w="4680" w:type="dxa"/>
          </w:tcPr>
          <w:p>
            <w:pPr/>
            <w:r>
              <w:t xml:space="preserve">Acordo; repetição da mesma posição 3 vezes; 25 lances seguidos só de damas, sem captura; limites especiais em finais de poucas damas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Notação</w:t>
            </w:r>
          </w:p>
        </w:tc>
        <w:tc>
          <w:tcPr>
            <w:tcW w:w="4680" w:type="dxa"/>
          </w:tcPr>
          <w:p>
            <w:pPr/>
            <w:r>
              <w:t xml:space="preserve">Casas numeradas de 1 a 50; "-" para movimento (32-28) e "x" para captura (28x19)</w:t>
            </w:r>
          </w:p>
        </w:tc>
      </w:tr>
    </w:tbl>
    <w:p>
      <w:pPr>
        <w:pStyle w:val="Heading3"/>
      </w:pPr>
      <w:r>
        <w:t xml:space="preserve">5.2 A escola russa de ensino</w:t>
      </w:r>
    </w:p>
    <w:p>
      <w:pPr/>
      <w:r>
        <w:t xml:space="preserve">A escola russa (herdeira da escola soviética) tratou as damas como esporte de formação, com programa por etapas, metas mensuráveis e treinadores especializados. O país formou campeões mundiais do 10×10 como Alexander Schwarzman e Alexander Georgiev. Hoje o método está formalizado no Padrão Federal de Preparação Esportiva em Damas (Ordem do Ministério do Esporte da Rússia nº 1078, de 04/12/2025), que define a etapa inicial a partir de 6 anos, com 2 anos de duração e grupos de 10 alunos.</w:t>
      </w:r>
    </w:p>
    <w:p>
      <w:pPr/>
      <w:r>
        <w:t xml:space="preserve">Princípios que o projeto adota: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Progressão por etapas com metas.</w:t>
      </w:r>
      <w:r>
        <w:t xml:space="preserve"> Cada nível tem conteúdos, normas e critérios de passagem. O aluno só avança quando domina o anterior.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A tática vem primeiro.</w:t>
      </w:r>
      <w:r>
        <w:t xml:space="preserve"> Na etapa inicial, a maior parte do tempo vai para combinações e cálculo. No padrão russo, preparação técnica ocupa 31–38% e tática/teórica/psicológica 45–48% da carga.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Volume diário de exercícios.</w:t>
      </w:r>
      <w:r>
        <w:t xml:space="preserve"> Resolver muitas posições curtas, todos os dias, até o padrão ser reconhecido sem cálculo.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Finais desde cedo.</w:t>
      </w:r>
      <w:r>
        <w:t xml:space="preserve"> Finais elementares são ensinados no primeiro ano, porque educam o cálculo exato e o valor do tempo.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Posições-tipo antes de aberturas decoradas.</w:t>
      </w:r>
      <w:r>
        <w:t xml:space="preserve"> O aluno aprende estruturas (centro, kol, flanco, clássico) e seus planos; teoria de abertura vem depois.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Análise das próprias partidas.</w:t>
      </w:r>
      <w:r>
        <w:t xml:space="preserve"> Toda partida séria é anotada e comentada com o professor.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Jogo com relógio e competição regular.</w:t>
      </w:r>
      <w:r>
        <w:t xml:space="preserve"> A prática competitiva é parte do treino, não um evento isolado.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Preparação física e psicológica.</w:t>
      </w:r>
      <w:r>
        <w:t xml:space="preserve"> Pequena parcela da carga (no padrão russo, cerca de 10–14%) dedicada a postura, atenção e controle emocional.</w:t>
      </w:r>
    </w:p>
    <w:p>
      <w:pPr>
        <w:pStyle w:val="Heading2"/>
      </w:pPr>
      <w:r>
        <w:t xml:space="preserve">6. Plano de ensino</w:t>
      </w:r>
    </w:p>
    <w:p>
      <w:pPr>
        <w:pStyle w:val="Heading3"/>
      </w:pPr>
      <w:r>
        <w:t xml:space="preserve">6.1 Ementas</w:t>
      </w:r>
    </w:p>
    <w:p>
      <w:pPr/>
      <w:r>
        <w:rPr>
          <w:b/>
        </w:rPr>
        <w:t xml:space="preserve">Nível 1 — Iniciação (80 h/aula).</w:t>
      </w:r>
      <w:r>
        <w:t xml:space="preserve"> História e modalidades do jogo de damas. Tabuleiro 10×10, notação numérica e regras oficiais da FMJD. Captura obrigatória, lei da maioria e promoção. Valor das peças e noção de tempo. Golpes elementares: golpe de 2 por 1, de 2 por 2, abertura de caminho para a dama, golpe de retorno. Finais elementares: dama contra pedras, oposição, ataque e defesa de pedras isoladas. Princípios de abertura: desenvolvimento e ocupação do centro. Conduta esportiva, relógio e anotação de partidas.</w:t>
      </w:r>
    </w:p>
    <w:p>
      <w:pPr/>
      <w:r>
        <w:rPr>
          <w:b/>
        </w:rPr>
        <w:t xml:space="preserve">Nível 2 — Desenvolvimento (80 h/aula).</w:t>
      </w:r>
      <w:r>
        <w:t xml:space="preserve"> Combinações de 3 a 5 lances e seus motivos táticos: sacrifício, bloqueio, ruptura, atração, ligações e peças penduradas. Cálculo de variantes e contagem de tempos. Finais com damas: controle da grande diagonal, por que 3 damas contra 1 costuma empatar e como vencer com 4 contra 1. Estruturas de jogo de meio: centro, flancos, posto avançado (kol) e seu ataque/defesa. Planos típicos e fundamentos das aberturas mais jogadas. Análise das próprias partidas.</w:t>
      </w:r>
    </w:p>
    <w:p>
      <w:pPr/>
      <w:r>
        <w:rPr>
          <w:b/>
        </w:rPr>
        <w:t xml:space="preserve">Nível 3 — Aperfeiçoamento (80 h/aula).</w:t>
      </w:r>
      <w:r>
        <w:t xml:space="preserve"> Combinações complexas e golpes de longo alcance. Posições-tipo do jogo clássico, jogo de cerco e jogo de tempos. Finais de pedras e de damas com pedras, estudos de finais. Repertório de aberturas e preparação para adversários. Estudo de partidas de mestres. Preparação competitiva: gestão do tempo, controle emocional, rotina de torneio.</w:t>
      </w:r>
    </w:p>
    <w:p>
      <w:pPr>
        <w:pStyle w:val="Heading3"/>
      </w:pPr>
      <w:r>
        <w:t xml:space="preserve">6.2 Competências a desenvolver</w:t>
      </w:r>
    </w:p>
    <w:p>
      <w:pPr>
        <w:pStyle w:val="ListParagraph"/>
        <w:numPr>
          <w:ilvl w:val="0"/>
          <w:numId w:val="5"/>
        </w:numPr>
      </w:pPr>
      <w:r>
        <w:t xml:space="preserve">Aplicar corretamente todas as regras oficiais e anotar uma partida inteira sem erro.</w:t>
      </w:r>
    </w:p>
    <w:p>
      <w:pPr>
        <w:pStyle w:val="ListParagraph"/>
        <w:numPr>
          <w:ilvl w:val="0"/>
          <w:numId w:val="5"/>
        </w:numPr>
      </w:pPr>
      <w:r>
        <w:t xml:space="preserve">Reconhecer motivos táticos e calcular combinações da profundidade exigida em cada nível.</w:t>
      </w:r>
    </w:p>
    <w:p>
      <w:pPr>
        <w:pStyle w:val="ListParagraph"/>
        <w:numPr>
          <w:ilvl w:val="0"/>
          <w:numId w:val="5"/>
        </w:numPr>
      </w:pPr>
      <w:r>
        <w:t xml:space="preserve">Converter finais básicos vencidos e defender finais empatados.</w:t>
      </w:r>
    </w:p>
    <w:p>
      <w:pPr>
        <w:pStyle w:val="ListParagraph"/>
        <w:numPr>
          <w:ilvl w:val="0"/>
          <w:numId w:val="5"/>
        </w:numPr>
      </w:pPr>
      <w:r>
        <w:t xml:space="preserve">Escolher um plano coerente com a estrutura de peças.</w:t>
      </w:r>
    </w:p>
    <w:p>
      <w:pPr>
        <w:pStyle w:val="ListParagraph"/>
        <w:numPr>
          <w:ilvl w:val="0"/>
          <w:numId w:val="5"/>
        </w:numPr>
      </w:pPr>
      <w:r>
        <w:t xml:space="preserve">Analisar a própria partida e identificar o lance decisivo.</w:t>
      </w:r>
    </w:p>
    <w:p>
      <w:pPr>
        <w:pStyle w:val="ListParagraph"/>
        <w:numPr>
          <w:ilvl w:val="0"/>
          <w:numId w:val="5"/>
        </w:numPr>
      </w:pPr>
      <w:r>
        <w:t xml:space="preserve">Demonstrar fair play, autocontrole e respeito ao adversário.</w:t>
      </w:r>
    </w:p>
    <w:p>
      <w:pPr>
        <w:pStyle w:val="Heading3"/>
      </w:pPr>
      <w:r>
        <w:t xml:space="preserve">6.3 Distribuição da carga horária (h/aula)</w:t>
      </w:r>
    </w:p>
    <w:p>
      <w:pPr/>
      <w:r>
        <w:t xml:space="preserve">A tática concentra a maior parte do tempo nos dois primeiros níveis e dá lugar à estratégia e à análise no terceiro, como no modelo russo.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Eixo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Nível 1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Nível 2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Nível 3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Regras, notação e conduta</w:t>
            </w:r>
          </w:p>
        </w:tc>
        <w:tc>
          <w:tcPr>
            <w:tcW w:w="2340" w:type="dxa"/>
          </w:tcPr>
          <w:p>
            <w:pPr/>
            <w:r>
              <w:t xml:space="preserve">8</w:t>
            </w:r>
          </w:p>
        </w:tc>
        <w:tc>
          <w:tcPr>
            <w:tcW w:w="234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t xml:space="preserve">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Tática e combinações</w:t>
            </w:r>
          </w:p>
        </w:tc>
        <w:tc>
          <w:tcPr>
            <w:tcW w:w="2340" w:type="dxa"/>
          </w:tcPr>
          <w:p>
            <w:pPr/>
            <w:r>
              <w:t xml:space="preserve">30</w:t>
            </w:r>
          </w:p>
        </w:tc>
        <w:tc>
          <w:tcPr>
            <w:tcW w:w="2340" w:type="dxa"/>
          </w:tcPr>
          <w:p>
            <w:pPr/>
            <w:r>
              <w:t xml:space="preserve">26</w:t>
            </w:r>
          </w:p>
        </w:tc>
        <w:tc>
          <w:tcPr>
            <w:tcW w:w="2340" w:type="dxa"/>
          </w:tcPr>
          <w:p>
            <w:pPr/>
            <w:r>
              <w:t xml:space="preserve">20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Finais</w:t>
            </w:r>
          </w:p>
        </w:tc>
        <w:tc>
          <w:tcPr>
            <w:tcW w:w="2340" w:type="dxa"/>
          </w:tcPr>
          <w:p>
            <w:pPr/>
            <w:r>
              <w:t xml:space="preserve">14</w:t>
            </w:r>
          </w:p>
        </w:tc>
        <w:tc>
          <w:tcPr>
            <w:tcW w:w="2340" w:type="dxa"/>
          </w:tcPr>
          <w:p>
            <w:pPr/>
            <w:r>
              <w:t xml:space="preserve">14</w:t>
            </w:r>
          </w:p>
        </w:tc>
        <w:tc>
          <w:tcPr>
            <w:tcW w:w="2340" w:type="dxa"/>
          </w:tcPr>
          <w:p>
            <w:pPr/>
            <w:r>
              <w:t xml:space="preserve">14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Jogo de meio e estratégia</w:t>
            </w:r>
          </w:p>
        </w:tc>
        <w:tc>
          <w:tcPr>
            <w:tcW w:w="2340" w:type="dxa"/>
          </w:tcPr>
          <w:p>
            <w:pPr/>
            <w:r>
              <w:t xml:space="preserve">8</w:t>
            </w:r>
          </w:p>
        </w:tc>
        <w:tc>
          <w:tcPr>
            <w:tcW w:w="2340" w:type="dxa"/>
          </w:tcPr>
          <w:p>
            <w:pPr/>
            <w:r>
              <w:t xml:space="preserve">14</w:t>
            </w:r>
          </w:p>
        </w:tc>
        <w:tc>
          <w:tcPr>
            <w:tcW w:w="2340" w:type="dxa"/>
          </w:tcPr>
          <w:p>
            <w:pPr/>
            <w:r>
              <w:t xml:space="preserve">14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Aberturas</w:t>
            </w:r>
          </w:p>
        </w:tc>
        <w:tc>
          <w:tcPr>
            <w:tcW w:w="2340" w:type="dxa"/>
          </w:tcPr>
          <w:p>
            <w:pPr/>
            <w:r>
              <w:t xml:space="preserve">0</w:t>
            </w:r>
          </w:p>
        </w:tc>
        <w:tc>
          <w:tcPr>
            <w:tcW w:w="2340" w:type="dxa"/>
          </w:tcPr>
          <w:p>
            <w:pPr/>
            <w:r>
              <w:t xml:space="preserve">6</w:t>
            </w:r>
          </w:p>
        </w:tc>
        <w:tc>
          <w:tcPr>
            <w:tcW w:w="2340" w:type="dxa"/>
          </w:tcPr>
          <w:p>
            <w:pPr/>
            <w:r>
              <w:t xml:space="preserve">10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Análise de partidas</w:t>
            </w:r>
          </w:p>
        </w:tc>
        <w:tc>
          <w:tcPr>
            <w:tcW w:w="2340" w:type="dxa"/>
          </w:tcPr>
          <w:p>
            <w:pPr/>
            <w:r>
              <w:t xml:space="preserve">0</w:t>
            </w:r>
          </w:p>
        </w:tc>
        <w:tc>
          <w:tcPr>
            <w:tcW w:w="2340" w:type="dxa"/>
          </w:tcPr>
          <w:p>
            <w:pPr/>
            <w:r>
              <w:t xml:space="preserve">6</w:t>
            </w:r>
          </w:p>
        </w:tc>
        <w:tc>
          <w:tcPr>
            <w:tcW w:w="2340" w:type="dxa"/>
          </w:tcPr>
          <w:p>
            <w:pPr/>
            <w:r>
              <w:t xml:space="preserve">10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Prática de jogo com relógio</w:t>
            </w:r>
          </w:p>
        </w:tc>
        <w:tc>
          <w:tcPr>
            <w:tcW w:w="2340" w:type="dxa"/>
          </w:tcPr>
          <w:p>
            <w:pPr/>
            <w:r>
              <w:t xml:space="preserve">14</w:t>
            </w:r>
          </w:p>
        </w:tc>
        <w:tc>
          <w:tcPr>
            <w:tcW w:w="2340" w:type="dxa"/>
          </w:tcPr>
          <w:p>
            <w:pPr/>
            <w:r>
              <w:t xml:space="preserve">8</w:t>
            </w:r>
          </w:p>
        </w:tc>
        <w:tc>
          <w:tcPr>
            <w:tcW w:w="2340" w:type="dxa"/>
          </w:tcPr>
          <w:p>
            <w:pPr/>
            <w:r>
              <w:t xml:space="preserve">6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Avaliações</w:t>
            </w:r>
          </w:p>
        </w:tc>
        <w:tc>
          <w:tcPr>
            <w:tcW w:w="2340" w:type="dxa"/>
          </w:tcPr>
          <w:p>
            <w:pPr/>
            <w:r>
              <w:t xml:space="preserve">6</w:t>
            </w:r>
          </w:p>
        </w:tc>
        <w:tc>
          <w:tcPr>
            <w:tcW w:w="2340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  <w:r>
              <w:t xml:space="preserve">4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Total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80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80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80</w:t>
            </w:r>
          </w:p>
        </w:tc>
      </w:tr>
    </w:tbl>
    <w:p>
      <w:pPr>
        <w:pStyle w:val="Heading2"/>
      </w:pPr>
      <w:r>
        <w:t xml:space="preserve">7. Conteúdo programático</w:t>
      </w:r>
    </w:p>
    <w:p>
      <w:pPr/>
      <w:r>
        <w:t xml:space="preserve">Cada nível tem 40 semanas de 2 h/aula. As unidades seguem a ordem de ensino; a prática de jogo e as avaliações se distribuem ao longo do ano.</w:t>
      </w:r>
    </w:p>
    <w:p>
      <w:pPr>
        <w:pStyle w:val="Heading3"/>
      </w:pPr>
      <w:r>
        <w:t xml:space="preserve">7.1 Nível 1 — Iniciação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Unidade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Conteúdo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h/aula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U1. O jogo e as regras</w:t>
            </w:r>
          </w:p>
        </w:tc>
        <w:tc>
          <w:tcPr>
            <w:tcW w:w="3120" w:type="dxa"/>
          </w:tcPr>
          <w:p>
            <w:pPr/>
            <w:r>
              <w:t xml:space="preserve">História das damas e modalidades (64 e 100 casas); tabuleiro e numeração 1–50; movimento da pedra e da dama; captura para trás; captura obrigatória; lei da maioria; golpe turco; promoção; regras de empate; relógio e anotação</w:t>
            </w:r>
          </w:p>
        </w:tc>
        <w:tc>
          <w:tcPr>
            <w:tcW w:w="3120" w:type="dxa"/>
          </w:tcPr>
          <w:p>
            <w:pPr/>
            <w:r>
              <w:t xml:space="preserve">8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U2. Tática I — golpes elementares</w:t>
            </w:r>
          </w:p>
        </w:tc>
        <w:tc>
          <w:tcPr>
            <w:tcW w:w="3120" w:type="dxa"/>
          </w:tcPr>
          <w:p>
            <w:pPr/>
            <w:r>
              <w:t xml:space="preserve">Troca e contagem de material; golpe de 2 por 1; forçar o adversário pela captura obrigatória; peça pendurada; golpe que leva à dama</w:t>
            </w:r>
          </w:p>
        </w:tc>
        <w:tc>
          <w:tcPr>
            <w:tcW w:w="3120" w:type="dxa"/>
          </w:tcPr>
          <w:p>
            <w:pPr/>
            <w:r>
              <w:t xml:space="preserve">14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U3. Finais I</w:t>
            </w:r>
          </w:p>
        </w:tc>
        <w:tc>
          <w:tcPr>
            <w:tcW w:w="3120" w:type="dxa"/>
          </w:tcPr>
          <w:p>
            <w:pPr/>
            <w:r>
              <w:t xml:space="preserve">Corrida à promoção; pedra contra pedra e oposição; dama contra 1 e 2 pedras; como a dama domina diagonais</w:t>
            </w:r>
          </w:p>
        </w:tc>
        <w:tc>
          <w:tcPr>
            <w:tcW w:w="3120" w:type="dxa"/>
          </w:tcPr>
          <w:p>
            <w:pPr/>
            <w:r>
              <w:t xml:space="preserve">8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U4. Tática II — combinações de 2 e 3 lances</w:t>
            </w:r>
          </w:p>
        </w:tc>
        <w:tc>
          <w:tcPr>
            <w:tcW w:w="3120" w:type="dxa"/>
          </w:tcPr>
          <w:p>
            <w:pPr/>
            <w:r>
              <w:t xml:space="preserve">Golpe de retorno; abertura de diagonal; sacrifício para captura múltipla; uso do golpe turco; exercícios diários de 1 a 3 lances</w:t>
            </w:r>
          </w:p>
        </w:tc>
        <w:tc>
          <w:tcPr>
            <w:tcW w:w="3120" w:type="dxa"/>
          </w:tcPr>
          <w:p>
            <w:pPr/>
            <w:r>
              <w:t xml:space="preserve">16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U5. Jogo de meio I</w:t>
            </w:r>
          </w:p>
        </w:tc>
        <w:tc>
          <w:tcPr>
            <w:tcW w:w="3120" w:type="dxa"/>
          </w:tcPr>
          <w:p>
            <w:pPr/>
            <w:r>
              <w:t xml:space="preserve">Importância do centro (casas 22, 23, 27, 28); desenvolvimento harmônico; peças atrasadas; casas da última fileira e defesa contra a dama</w:t>
            </w:r>
          </w:p>
        </w:tc>
        <w:tc>
          <w:tcPr>
            <w:tcW w:w="3120" w:type="dxa"/>
          </w:tcPr>
          <w:p>
            <w:pPr/>
            <w:r>
              <w:t xml:space="preserve">8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U6. Finais II</w:t>
            </w:r>
          </w:p>
        </w:tc>
        <w:tc>
          <w:tcPr>
            <w:tcW w:w="3120" w:type="dxa"/>
          </w:tcPr>
          <w:p>
            <w:pPr/>
            <w:r>
              <w:t xml:space="preserve">Dama contra várias pedras; finais de 2 e 3 damas contra 1; quando o final é empate</w:t>
            </w:r>
          </w:p>
        </w:tc>
        <w:tc>
          <w:tcPr>
            <w:tcW w:w="3120" w:type="dxa"/>
          </w:tcPr>
          <w:p>
            <w:pPr/>
            <w:r>
              <w:t xml:space="preserve">6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Prática de jogo</w:t>
            </w:r>
          </w:p>
        </w:tc>
        <w:tc>
          <w:tcPr>
            <w:tcW w:w="3120" w:type="dxa"/>
          </w:tcPr>
          <w:p>
            <w:pPr/>
            <w:r>
              <w:t xml:space="preserve">Partidas com relógio e anotação, torneio interno da turma</w:t>
            </w:r>
          </w:p>
        </w:tc>
        <w:tc>
          <w:tcPr>
            <w:tcW w:w="3120" w:type="dxa"/>
          </w:tcPr>
          <w:p>
            <w:pPr/>
            <w:r>
              <w:t xml:space="preserve">14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Avaliações</w:t>
            </w:r>
          </w:p>
        </w:tc>
        <w:tc>
          <w:tcPr>
            <w:tcW w:w="3120" w:type="dxa"/>
          </w:tcPr>
          <w:p>
            <w:pPr/>
            <w:r>
              <w:t xml:space="preserve">Diagnóstica, bimestrais e exame de passagem de nível</w:t>
            </w:r>
          </w:p>
        </w:tc>
        <w:tc>
          <w:tcPr>
            <w:tcW w:w="3120" w:type="dxa"/>
          </w:tcPr>
          <w:p>
            <w:pPr/>
            <w:r>
              <w:t xml:space="preserve">6</w:t>
            </w:r>
          </w:p>
        </w:tc>
      </w:tr>
    </w:tbl>
    <w:p>
      <w:pPr>
        <w:pStyle w:val="Heading3"/>
      </w:pPr>
      <w:r>
        <w:t xml:space="preserve">7.2 Nível 2 — Desenvolvimento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Unidade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Conteúdo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h/aula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U1. Revisão de regras e regulamento de torneio</w:t>
            </w:r>
          </w:p>
        </w:tc>
        <w:tc>
          <w:tcPr>
            <w:tcW w:w="3120" w:type="dxa"/>
          </w:tcPr>
          <w:p>
            <w:pPr/>
            <w:r>
              <w:t xml:space="preserve">Regras FMJD em situações de competição; anotação completa</w:t>
            </w:r>
          </w:p>
        </w:tc>
        <w:tc>
          <w:tcPr>
            <w:tcW w:w="3120" w:type="dxa"/>
          </w:tcPr>
          <w:p>
            <w:pPr/>
            <w:r>
              <w:t xml:space="preserve">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U2. Tática III — motivos combinatórios</w:t>
            </w:r>
          </w:p>
        </w:tc>
        <w:tc>
          <w:tcPr>
            <w:tcW w:w="3120" w:type="dxa"/>
          </w:tcPr>
          <w:p>
            <w:pPr/>
            <w:r>
              <w:t xml:space="preserve">Sacrifício, bloqueio, ruptura, atração, ligações; combinações de 3 a 5 lances; cálculo de variantes sem mover as peças</w:t>
            </w:r>
          </w:p>
        </w:tc>
        <w:tc>
          <w:tcPr>
            <w:tcW w:w="3120" w:type="dxa"/>
          </w:tcPr>
          <w:p>
            <w:pPr/>
            <w:r>
              <w:t xml:space="preserve">26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U3. Finais III</w:t>
            </w:r>
          </w:p>
        </w:tc>
        <w:tc>
          <w:tcPr>
            <w:tcW w:w="3120" w:type="dxa"/>
          </w:tcPr>
          <w:p>
            <w:pPr/>
            <w:r>
              <w:t xml:space="preserve">Grande diagonal; 3 damas contra 1 e sua defesa; 4 contra 1; finais de pedras com contagem de tempos</w:t>
            </w:r>
          </w:p>
        </w:tc>
        <w:tc>
          <w:tcPr>
            <w:tcW w:w="3120" w:type="dxa"/>
          </w:tcPr>
          <w:p>
            <w:pPr/>
            <w:r>
              <w:t xml:space="preserve">14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U4. Jogo de meio II — estruturas</w:t>
            </w:r>
          </w:p>
        </w:tc>
        <w:tc>
          <w:tcPr>
            <w:tcW w:w="3120" w:type="dxa"/>
          </w:tcPr>
          <w:p>
            <w:pPr/>
            <w:r>
              <w:t xml:space="preserve">Centro e flancos; posto avançado (kol) em 24/27: ataque e defesa; contagem de tempos; trocas que melhoram a estrutura</w:t>
            </w:r>
          </w:p>
        </w:tc>
        <w:tc>
          <w:tcPr>
            <w:tcW w:w="3120" w:type="dxa"/>
          </w:tcPr>
          <w:p>
            <w:pPr/>
            <w:r>
              <w:t xml:space="preserve">14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U5. Aberturas I</w:t>
            </w:r>
          </w:p>
        </w:tc>
        <w:tc>
          <w:tcPr>
            <w:tcW w:w="3120" w:type="dxa"/>
          </w:tcPr>
          <w:p>
            <w:pPr/>
            <w:r>
              <w:t xml:space="preserve">Princípios e planos dos lances iniciais mais jogados (32-28, 33-28, 31-27, 34-29) e respostas típicas</w:t>
            </w:r>
          </w:p>
        </w:tc>
        <w:tc>
          <w:tcPr>
            <w:tcW w:w="3120" w:type="dxa"/>
          </w:tcPr>
          <w:p>
            <w:pPr/>
            <w:r>
              <w:t xml:space="preserve">6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U6. Análise de partidas</w:t>
            </w:r>
          </w:p>
        </w:tc>
        <w:tc>
          <w:tcPr>
            <w:tcW w:w="3120" w:type="dxa"/>
          </w:tcPr>
          <w:p>
            <w:pPr/>
            <w:r>
              <w:t xml:space="preserve">Comentário das partidas da turma; identificação do erro decisivo</w:t>
            </w:r>
          </w:p>
        </w:tc>
        <w:tc>
          <w:tcPr>
            <w:tcW w:w="3120" w:type="dxa"/>
          </w:tcPr>
          <w:p>
            <w:pPr/>
            <w:r>
              <w:t xml:space="preserve">6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Prática de jogo</w:t>
            </w:r>
          </w:p>
        </w:tc>
        <w:tc>
          <w:tcPr>
            <w:tcW w:w="3120" w:type="dxa"/>
          </w:tcPr>
          <w:p>
            <w:pPr/>
            <w:r>
              <w:t xml:space="preserve">Partidas com relógio, torneios internos e intercolegiais</w:t>
            </w:r>
          </w:p>
        </w:tc>
        <w:tc>
          <w:tcPr>
            <w:tcW w:w="3120" w:type="dxa"/>
          </w:tcPr>
          <w:p>
            <w:pPr/>
            <w:r>
              <w:t xml:space="preserve">8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Avaliações</w:t>
            </w:r>
          </w:p>
        </w:tc>
        <w:tc>
          <w:tcPr>
            <w:tcW w:w="3120" w:type="dxa"/>
          </w:tcPr>
          <w:p>
            <w:pPr/>
            <w:r>
              <w:t xml:space="preserve">Bimestrais e exame de passagem</w:t>
            </w:r>
          </w:p>
        </w:tc>
        <w:tc>
          <w:tcPr>
            <w:tcW w:w="3120" w:type="dxa"/>
          </w:tcPr>
          <w:p>
            <w:pPr/>
            <w:r>
              <w:t xml:space="preserve">4</w:t>
            </w:r>
          </w:p>
        </w:tc>
      </w:tr>
    </w:tbl>
    <w:p>
      <w:pPr>
        <w:pStyle w:val="Heading3"/>
      </w:pPr>
      <w:r>
        <w:t xml:space="preserve">7.3 Nível 3 — Aperfeiçoamento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Unidade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Conteúdo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h/aula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U1. Regulamentos e arbitragem</w:t>
            </w:r>
          </w:p>
        </w:tc>
        <w:tc>
          <w:tcPr>
            <w:tcW w:w="3120" w:type="dxa"/>
          </w:tcPr>
          <w:p>
            <w:pPr/>
            <w:r>
              <w:t xml:space="preserve">Regulamento de competição, rating FMJD/CBD, noções de arbitragem</w:t>
            </w:r>
          </w:p>
        </w:tc>
        <w:tc>
          <w:tcPr>
            <w:tcW w:w="3120" w:type="dxa"/>
          </w:tcPr>
          <w:p>
            <w:pPr/>
            <w:r>
              <w:t xml:space="preserve">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U2. Tática IV</w:t>
            </w:r>
          </w:p>
        </w:tc>
        <w:tc>
          <w:tcPr>
            <w:tcW w:w="3120" w:type="dxa"/>
          </w:tcPr>
          <w:p>
            <w:pPr/>
            <w:r>
              <w:t xml:space="preserve">Combinações complexas, golpes de longo alcance, combinações com dama, solução de problemas</w:t>
            </w:r>
          </w:p>
        </w:tc>
        <w:tc>
          <w:tcPr>
            <w:tcW w:w="3120" w:type="dxa"/>
          </w:tcPr>
          <w:p>
            <w:pPr/>
            <w:r>
              <w:t xml:space="preserve">20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U3. Finais IV</w:t>
            </w:r>
          </w:p>
        </w:tc>
        <w:tc>
          <w:tcPr>
            <w:tcW w:w="3120" w:type="dxa"/>
          </w:tcPr>
          <w:p>
            <w:pPr/>
            <w:r>
              <w:t xml:space="preserve">Finais de pedras complexos; dama e pedras contra dama; estudos de finais clássicos</w:t>
            </w:r>
          </w:p>
        </w:tc>
        <w:tc>
          <w:tcPr>
            <w:tcW w:w="3120" w:type="dxa"/>
          </w:tcPr>
          <w:p>
            <w:pPr/>
            <w:r>
              <w:t xml:space="preserve">14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U4. Estratégia</w:t>
            </w:r>
          </w:p>
        </w:tc>
        <w:tc>
          <w:tcPr>
            <w:tcW w:w="3120" w:type="dxa"/>
          </w:tcPr>
          <w:p>
            <w:pPr/>
            <w:r>
              <w:t xml:space="preserve">Jogo clássico, jogo de cerco, jogo de flanco e jogo de tempos; planos para cada posição-tipo</w:t>
            </w:r>
          </w:p>
        </w:tc>
        <w:tc>
          <w:tcPr>
            <w:tcW w:w="3120" w:type="dxa"/>
          </w:tcPr>
          <w:p>
            <w:pPr/>
            <w:r>
              <w:t xml:space="preserve">14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U5. Aberturas II</w:t>
            </w:r>
          </w:p>
        </w:tc>
        <w:tc>
          <w:tcPr>
            <w:tcW w:w="3120" w:type="dxa"/>
          </w:tcPr>
          <w:p>
            <w:pPr/>
            <w:r>
              <w:t xml:space="preserve">Repertório pessoal com brancas e pretas; preparação com bases de dados</w:t>
            </w:r>
          </w:p>
        </w:tc>
        <w:tc>
          <w:tcPr>
            <w:tcW w:w="3120" w:type="dxa"/>
          </w:tcPr>
          <w:p>
            <w:pPr/>
            <w:r>
              <w:t xml:space="preserve">10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U6. Partidas de mestres e análise</w:t>
            </w:r>
          </w:p>
        </w:tc>
        <w:tc>
          <w:tcPr>
            <w:tcW w:w="3120" w:type="dxa"/>
          </w:tcPr>
          <w:p>
            <w:pPr/>
            <w:r>
              <w:t xml:space="preserve">Partidas comentadas de campeões mundiais; análise aprofundada das próprias partidas com apoio de software</w:t>
            </w:r>
          </w:p>
        </w:tc>
        <w:tc>
          <w:tcPr>
            <w:tcW w:w="3120" w:type="dxa"/>
          </w:tcPr>
          <w:p>
            <w:pPr/>
            <w:r>
              <w:t xml:space="preserve">10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Preparação competitiva</w:t>
            </w:r>
          </w:p>
        </w:tc>
        <w:tc>
          <w:tcPr>
            <w:tcW w:w="3120" w:type="dxa"/>
          </w:tcPr>
          <w:p>
            <w:pPr/>
            <w:r>
              <w:t xml:space="preserve">Gestão do tempo, rotina de torneio, controle emocional</w:t>
            </w:r>
          </w:p>
        </w:tc>
        <w:tc>
          <w:tcPr>
            <w:tcW w:w="3120" w:type="dxa"/>
          </w:tcPr>
          <w:p>
            <w:pPr/>
            <w:r>
              <w:t xml:space="preserve">6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Avaliações</w:t>
            </w:r>
          </w:p>
        </w:tc>
        <w:tc>
          <w:tcPr>
            <w:tcW w:w="3120" w:type="dxa"/>
          </w:tcPr>
          <w:p>
            <w:pPr/>
            <w:r>
              <w:t xml:space="preserve">Desempenho em torneios e exame anual</w:t>
            </w:r>
          </w:p>
        </w:tc>
        <w:tc>
          <w:tcPr>
            <w:tcW w:w="3120" w:type="dxa"/>
          </w:tcPr>
          <w:p>
            <w:pPr/>
            <w:r>
              <w:t xml:space="preserve">4</w:t>
            </w:r>
          </w:p>
        </w:tc>
      </w:tr>
    </w:tbl>
    <w:p>
      <w:pPr/>
      <w:r>
        <w:rPr>
          <w:b/>
        </w:rPr>
        <w:t xml:space="preserve">Rotina de cada aula (100 min), no padrão russo:</w:t>
      </w:r>
    </w:p>
    <w:p>
      <w:pPr>
        <w:pStyle w:val="ListParagraph"/>
        <w:numPr>
          <w:ilvl w:val="0"/>
          <w:numId w:val="6"/>
        </w:numPr>
      </w:pPr>
      <w:r>
        <w:t xml:space="preserve">Aquecimento tático: 5 a 10 posições curtas resolvidas individualmente (15 min).</w:t>
      </w:r>
    </w:p>
    <w:p>
      <w:pPr>
        <w:pStyle w:val="ListParagraph"/>
        <w:numPr>
          <w:ilvl w:val="0"/>
          <w:numId w:val="6"/>
        </w:numPr>
      </w:pPr>
      <w:r>
        <w:t xml:space="preserve">Tema novo: exposição no tabuleiro mural, com participação dos alunos (25 min).</w:t>
      </w:r>
    </w:p>
    <w:p>
      <w:pPr>
        <w:pStyle w:val="ListParagraph"/>
        <w:numPr>
          <w:ilvl w:val="0"/>
          <w:numId w:val="6"/>
        </w:numPr>
      </w:pPr>
      <w:r>
        <w:t xml:space="preserve">Fixação: exercícios do tema em duplas (20 min).</w:t>
      </w:r>
    </w:p>
    <w:p>
      <w:pPr>
        <w:pStyle w:val="ListParagraph"/>
        <w:numPr>
          <w:ilvl w:val="0"/>
          <w:numId w:val="6"/>
        </w:numPr>
      </w:pPr>
      <w:r>
        <w:t xml:space="preserve">Jogo dirigido: posições do tema jogadas até o fim ou partida com relógio (30 min).</w:t>
      </w:r>
    </w:p>
    <w:p>
      <w:pPr>
        <w:pStyle w:val="ListParagraph"/>
        <w:numPr>
          <w:ilvl w:val="0"/>
          <w:numId w:val="6"/>
        </w:numPr>
      </w:pPr>
      <w:r>
        <w:t xml:space="preserve">Fechamento: correção, análise rápida e tarefa de casa (10 min).</w:t>
      </w:r>
    </w:p>
    <w:p>
      <w:pPr>
        <w:pStyle w:val="Heading2"/>
      </w:pPr>
      <w:r>
        <w:t xml:space="preserve">8. Metodologia, recursos e materiais</w:t>
      </w:r>
    </w:p>
    <w:p>
      <w:pPr/>
      <w:r>
        <w:t xml:space="preserve">As aulas combinam exposição curta, muito exercício e jogo real, sempre no tabuleiro físico e com apoio digital para treino em casa.</w:t>
      </w:r>
    </w:p>
    <w:p>
      <w:pPr/>
      <w:r>
        <w:rPr>
          <w:b/>
        </w:rPr>
        <w:t xml:space="preserve">Estratégias de ensino: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Exposição no tabuleiro mural:</w:t>
      </w:r>
      <w:r>
        <w:t xml:space="preserve"> o professor apresenta a posição e conduz perguntas ("o que as brancas ameaçam?").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Resolução graduada de exercícios:</w:t>
      </w:r>
      <w:r>
        <w:t xml:space="preserve"> fichas por tema, do fácil ao difícil, com meta de quantidade semanal.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Jogo temático:</w:t>
      </w:r>
      <w:r>
        <w:t xml:space="preserve"> a turma joga a partir de uma posição do tema estudado.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Aprendizagem entre pares:</w:t>
      </w:r>
      <w:r>
        <w:t xml:space="preserve"> duplas de níveis diferentes; monitores do Nível 3 apoiam o Nível 1.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Caderno do damista:</w:t>
      </w:r>
      <w:r>
        <w:t xml:space="preserve"> partidas anotadas, exercícios resolvidos e comentários do professor.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Treino digital:</w:t>
      </w:r>
      <w:r>
        <w:t xml:space="preserve"> exercícios e partidas online no </w:t>
      </w:r>
      <w:hyperlink r:id="rId3" w:history="1">
        <w:r>
          <w:rPr>
            <w:rStyle w:val="Hyperlink"/>
          </w:rPr>
          <w:t xml:space="preserve">Lidraughts</w:t>
        </w:r>
      </w:hyperlink>
      <w:r>
        <w:t xml:space="preserve"> (gratuito, com modalidade 10×10 e exercícios táticos); no Nível 3, análise com motor de cálculo.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Interdisciplinaridade:</w:t>
      </w:r>
      <w:r>
        <w:t xml:space="preserve"> aulas conjuntas com Matemática (coordenadas, paridade, contagem) e História (origem do jogo).</w:t>
      </w:r>
    </w:p>
    <w:p>
      <w:pPr/>
      <w:r>
        <w:rPr>
          <w:b/>
        </w:rPr>
        <w:t xml:space="preserve">Materiais por turma de 20 alunos: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Quantidade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Uso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Tabuleiro 10×10 com 40 peças</w:t>
            </w:r>
          </w:p>
        </w:tc>
        <w:tc>
          <w:tcPr>
            <w:tcW w:w="3120" w:type="dxa"/>
          </w:tcPr>
          <w:p>
            <w:pPr/>
            <w:r>
              <w:t xml:space="preserve">12 conjuntos</w:t>
            </w:r>
          </w:p>
        </w:tc>
        <w:tc>
          <w:tcPr>
            <w:tcW w:w="3120" w:type="dxa"/>
          </w:tcPr>
          <w:p>
            <w:pPr/>
            <w:r>
              <w:t xml:space="preserve">10 em jogo + 2 de reserva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Relógio digital de jogo</w:t>
            </w:r>
          </w:p>
        </w:tc>
        <w:tc>
          <w:tcPr>
            <w:tcW w:w="3120" w:type="dxa"/>
          </w:tcPr>
          <w:p>
            <w:pPr/>
            <w:r>
              <w:t xml:space="preserve">10</w:t>
            </w:r>
          </w:p>
        </w:tc>
        <w:tc>
          <w:tcPr>
            <w:tcW w:w="3120" w:type="dxa"/>
          </w:tcPr>
          <w:p>
            <w:pPr/>
            <w:r>
              <w:t xml:space="preserve">Partidas com tempo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Tabuleiro mural magnético 10×10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Exposição dos temas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Fichas de exercícios por nível</w:t>
            </w:r>
          </w:p>
        </w:tc>
        <w:tc>
          <w:tcPr>
            <w:tcW w:w="3120" w:type="dxa"/>
          </w:tcPr>
          <w:p>
            <w:pPr/>
            <w:r>
              <w:t xml:space="preserve">1 jogo por aluno</w:t>
            </w:r>
          </w:p>
        </w:tc>
        <w:tc>
          <w:tcPr>
            <w:tcW w:w="3120" w:type="dxa"/>
          </w:tcPr>
          <w:p>
            <w:pPr/>
            <w:r>
              <w:t xml:space="preserve">Treino diário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Caderno de partidas (planilhas)</w:t>
            </w:r>
          </w:p>
        </w:tc>
        <w:tc>
          <w:tcPr>
            <w:tcW w:w="3120" w:type="dxa"/>
          </w:tcPr>
          <w:p>
            <w:pPr/>
            <w:r>
              <w:t xml:space="preserve">1 por aluno</w:t>
            </w:r>
          </w:p>
        </w:tc>
        <w:tc>
          <w:tcPr>
            <w:tcW w:w="3120" w:type="dxa"/>
          </w:tcPr>
          <w:p>
            <w:pPr/>
            <w:r>
              <w:t xml:space="preserve">Anotação e análise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Computador/projetor e acesso à internet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Treino digital e partidas de mestres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Tabuleiro tátil adaptado</w:t>
            </w:r>
          </w:p>
        </w:tc>
        <w:tc>
          <w:tcPr>
            <w:tcW w:w="3120" w:type="dxa"/>
          </w:tcPr>
          <w:p>
            <w:pPr/>
            <w:r>
              <w:t xml:space="preserve">conforme demanda</w:t>
            </w:r>
          </w:p>
        </w:tc>
        <w:tc>
          <w:tcPr>
            <w:tcW w:w="3120" w:type="dxa"/>
          </w:tcPr>
          <w:p>
            <w:pPr/>
            <w:r>
              <w:t xml:space="preserve">Alunos com deficiência visual</w:t>
            </w:r>
          </w:p>
        </w:tc>
      </w:tr>
    </w:tbl>
    <w:p>
      <w:pPr>
        <w:pStyle w:val="Heading2"/>
      </w:pPr>
      <w:r>
        <w:t xml:space="preserve">9. Avaliação, graduação e indicadores</w:t>
      </w:r>
    </w:p>
    <w:p>
      <w:pPr/>
      <w:r>
        <w:t xml:space="preserve">O aluno é avaliado de forma contínua e por exame de passagem; o projeto é avaliado por indicadores medidos no início e no fim do ano.</w:t>
      </w:r>
    </w:p>
    <w:p>
      <w:pPr/>
      <w:r>
        <w:rPr>
          <w:b/>
        </w:rPr>
        <w:t xml:space="preserve">Avaliação do aluno: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Diagnóstica</w:t>
      </w:r>
      <w:r>
        <w:t xml:space="preserve"> (início do ano): regras, notação e 10 exercícios táticos, para distribuir os alunos por nível.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Contínua</w:t>
      </w:r>
      <w:r>
        <w:t xml:space="preserve"> (40%): frequência, caderno de partidas, exercícios semanais resolvidos, conduta esportiva.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Bimestral</w:t>
      </w:r>
      <w:r>
        <w:t xml:space="preserve"> (30%): prova de exercícios táticos e de finais do conteúdo do bimestre.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Exame de passagem</w:t>
      </w:r>
      <w:r>
        <w:t xml:space="preserve"> (30%): prova escrita de posições + desempenho no torneio de fim de nível.</w:t>
      </w:r>
    </w:p>
    <w:p>
      <w:pPr/>
      <w:r>
        <w:rPr>
          <w:b/>
        </w:rPr>
        <w:t xml:space="preserve">Sistema de graduação</w:t>
      </w:r>
      <w:r>
        <w:t xml:space="preserve"> (inspirado nas categorias esportivas russas, adaptado à escola):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Categoria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Requisito principal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Nível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Iniciante</w:t>
            </w:r>
          </w:p>
        </w:tc>
        <w:tc>
          <w:tcPr>
            <w:tcW w:w="3120" w:type="dxa"/>
          </w:tcPr>
          <w:p>
            <w:pPr/>
            <w:r>
              <w:t xml:space="preserve">Conhece as regras e anota uma partida</w:t>
            </w:r>
          </w:p>
        </w:tc>
        <w:tc>
          <w:tcPr>
            <w:tcW w:w="3120" w:type="dxa"/>
          </w:tcPr>
          <w:p>
            <w:pPr/>
            <w:r>
              <w:t xml:space="preserve">1, 1º semestre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4ª categoria</w:t>
            </w:r>
          </w:p>
        </w:tc>
        <w:tc>
          <w:tcPr>
            <w:tcW w:w="3120" w:type="dxa"/>
          </w:tcPr>
          <w:p>
            <w:pPr/>
            <w:r>
              <w:t xml:space="preserve">Resolve 70% de combinações de 1–2 lances; vence dama contra pedras</w:t>
            </w:r>
          </w:p>
        </w:tc>
        <w:tc>
          <w:tcPr>
            <w:tcW w:w="3120" w:type="dxa"/>
          </w:tcPr>
          <w:p>
            <w:pPr/>
            <w:r>
              <w:t xml:space="preserve">fim do Nível 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3ª categoria</w:t>
            </w:r>
          </w:p>
        </w:tc>
        <w:tc>
          <w:tcPr>
            <w:tcW w:w="3120" w:type="dxa"/>
          </w:tcPr>
          <w:p>
            <w:pPr/>
            <w:r>
              <w:t xml:space="preserve">Resolve 70% de combinações de 3–4 lances; domina finais de damas básicos</w:t>
            </w:r>
          </w:p>
        </w:tc>
        <w:tc>
          <w:tcPr>
            <w:tcW w:w="3120" w:type="dxa"/>
          </w:tcPr>
          <w:p>
            <w:pPr/>
            <w:r>
              <w:t xml:space="preserve">fim do Nível 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2ª categoria</w:t>
            </w:r>
          </w:p>
        </w:tc>
        <w:tc>
          <w:tcPr>
            <w:tcW w:w="3120" w:type="dxa"/>
          </w:tcPr>
          <w:p>
            <w:pPr/>
            <w:r>
              <w:t xml:space="preserve">Resolve 70% de combinações de 5+ lances; ≥ 50% dos pontos em torneio intercolegial</w:t>
            </w:r>
          </w:p>
        </w:tc>
        <w:tc>
          <w:tcPr>
            <w:tcW w:w="3120" w:type="dxa"/>
          </w:tcPr>
          <w:p>
            <w:pPr/>
            <w:r>
              <w:t xml:space="preserve">Nível 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1ª categoria</w:t>
            </w:r>
          </w:p>
        </w:tc>
        <w:tc>
          <w:tcPr>
            <w:tcW w:w="3120" w:type="dxa"/>
          </w:tcPr>
          <w:p>
            <w:pPr/>
            <w:r>
              <w:t xml:space="preserve">Resultado em competição oficial da FMJDM/CBD</w:t>
            </w:r>
          </w:p>
        </w:tc>
        <w:tc>
          <w:tcPr>
            <w:tcW w:w="3120" w:type="dxa"/>
          </w:tcPr>
          <w:p>
            <w:pPr/>
            <w:r>
              <w:t xml:space="preserve">Nível 3 (atleta)</w:t>
            </w:r>
          </w:p>
        </w:tc>
      </w:tr>
    </w:tbl>
    <w:p>
      <w:pPr/>
      <w:r>
        <w:rPr>
          <w:b/>
        </w:rPr>
        <w:t xml:space="preserve">Indicadores do projeto: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Indicador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Meta anual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Instrumento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Frequência média</w:t>
            </w:r>
          </w:p>
        </w:tc>
        <w:tc>
          <w:tcPr>
            <w:tcW w:w="3120" w:type="dxa"/>
          </w:tcPr>
          <w:p>
            <w:pPr/>
            <w:r>
              <w:t xml:space="preserve">≥ 75%</w:t>
            </w:r>
          </w:p>
        </w:tc>
        <w:tc>
          <w:tcPr>
            <w:tcW w:w="3120" w:type="dxa"/>
          </w:tcPr>
          <w:p>
            <w:pPr/>
            <w:r>
              <w:t xml:space="preserve">Diário de classe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Alunos aprovados para o nível seguinte</w:t>
            </w:r>
          </w:p>
        </w:tc>
        <w:tc>
          <w:tcPr>
            <w:tcW w:w="3120" w:type="dxa"/>
          </w:tcPr>
          <w:p>
            <w:pPr/>
            <w:r>
              <w:t xml:space="preserve">≥ 60%</w:t>
            </w:r>
          </w:p>
        </w:tc>
        <w:tc>
          <w:tcPr>
            <w:tcW w:w="3120" w:type="dxa"/>
          </w:tcPr>
          <w:p>
            <w:pPr/>
            <w:r>
              <w:t xml:space="preserve">Exame de passagem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Ganho em raciocínio lógico-matemático</w:t>
            </w:r>
          </w:p>
        </w:tc>
        <w:tc>
          <w:tcPr>
            <w:tcW w:w="3120" w:type="dxa"/>
          </w:tcPr>
          <w:p>
            <w:pPr/>
            <w:r>
              <w:t xml:space="preserve">Superior ao de uma turma de comparação</w:t>
            </w:r>
          </w:p>
        </w:tc>
        <w:tc>
          <w:tcPr>
            <w:tcW w:w="3120" w:type="dxa"/>
          </w:tcPr>
          <w:p>
            <w:pPr/>
            <w:r>
              <w:t xml:space="preserve">Pré e pós-teste nas turmas do projeto e numa turma sem o projeto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Clima e conduta</w:t>
            </w:r>
          </w:p>
        </w:tc>
        <w:tc>
          <w:tcPr>
            <w:tcW w:w="3120" w:type="dxa"/>
          </w:tcPr>
          <w:p>
            <w:pPr/>
            <w:r>
              <w:t xml:space="preserve">Melhora percebida pelos professores</w:t>
            </w:r>
          </w:p>
        </w:tc>
        <w:tc>
          <w:tcPr>
            <w:tcW w:w="3120" w:type="dxa"/>
          </w:tcPr>
          <w:p>
            <w:pPr/>
            <w:r>
              <w:t xml:space="preserve">Questionário socioemocional (início e fim)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Alunos em competições oficiais</w:t>
            </w:r>
          </w:p>
        </w:tc>
        <w:tc>
          <w:tcPr>
            <w:tcW w:w="3120" w:type="dxa"/>
          </w:tcPr>
          <w:p>
            <w:pPr/>
            <w:r>
              <w:t xml:space="preserve">≥ 10% dos participantes</w:t>
            </w:r>
          </w:p>
        </w:tc>
        <w:tc>
          <w:tcPr>
            <w:tcW w:w="3120" w:type="dxa"/>
          </w:tcPr>
          <w:p>
            <w:pPr/>
            <w:r>
              <w:t xml:space="preserve">Inscrições FMJDM/CBD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Professores multiplicadores formados</w:t>
            </w:r>
          </w:p>
        </w:tc>
        <w:tc>
          <w:tcPr>
            <w:tcW w:w="3120" w:type="dxa"/>
          </w:tcPr>
          <w:p>
            <w:pPr/>
            <w:r>
              <w:t xml:space="preserve">≥ 1 por escola</w:t>
            </w:r>
          </w:p>
        </w:tc>
        <w:tc>
          <w:tcPr>
            <w:tcW w:w="3120" w:type="dxa"/>
          </w:tcPr>
          <w:p>
            <w:pPr/>
            <w:r>
              <w:t xml:space="preserve">Certificado da formação</w:t>
            </w:r>
          </w:p>
        </w:tc>
      </w:tr>
    </w:tbl>
    <w:p>
      <w:pPr/>
      <w:r>
        <w:t xml:space="preserve">A turma de comparação responde à principal crítica das pesquisas sobre jogos de tabuleiro na escola e dá ao projeto dados próprios para publicação e renovação.</w:t>
      </w:r>
    </w:p>
    <w:p>
      <w:pPr>
        <w:pStyle w:val="Heading2"/>
      </w:pPr>
      <w:r>
        <w:t xml:space="preserve">10. Competições, parcerias, cronograma e orçamento</w:t>
      </w:r>
    </w:p>
    <w:p>
      <w:pPr>
        <w:pStyle w:val="Heading3"/>
      </w:pPr>
      <w:r>
        <w:t xml:space="preserve">10.1 Calendário competitivo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Torneio interno mensal</w:t>
      </w:r>
      <w:r>
        <w:t xml:space="preserve"> em cada escola, com ranking acumulado.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Torneio intercolegial semestral</w:t>
      </w:r>
      <w:r>
        <w:t xml:space="preserve"> entre as escolas do projeto (julho e novembro).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Festival Damas na Escola</w:t>
      </w:r>
      <w:r>
        <w:t xml:space="preserve"> no encerramento do ano, aberto às famílias, com simultâneas e premiação.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Competições oficiais:</w:t>
      </w:r>
      <w:r>
        <w:t xml:space="preserve"> inscrição dos destaques nos campeonatos da FMJDM, nos jogos escolares e nos campeonatos brasileiros por faixa etária da CBD.</w:t>
      </w:r>
    </w:p>
    <w:p>
      <w:pPr>
        <w:pStyle w:val="Heading3"/>
      </w:pPr>
      <w:r>
        <w:t xml:space="preserve">10.2 Parcerias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Parceiro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Papel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Federação Maranhense de Jogos de Dama (FMJDM)</w:t>
            </w:r>
          </w:p>
        </w:tc>
        <w:tc>
          <w:tcPr>
            <w:tcW w:w="4680" w:type="dxa"/>
          </w:tcPr>
          <w:p>
            <w:pPr/>
            <w:r>
              <w:t xml:space="preserve">Chancela técnica, arbitragem, calendário e filiação de atletas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Confederação Brasileira de Damas (CBD)</w:t>
            </w:r>
          </w:p>
        </w:tc>
        <w:tc>
          <w:tcPr>
            <w:tcW w:w="4680" w:type="dxa"/>
          </w:tcPr>
          <w:p>
            <w:pPr/>
            <w:r>
              <w:t xml:space="preserve">Rating e competições nacionais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Secretarias de Educação (municipal/estadual)</w:t>
            </w:r>
          </w:p>
        </w:tc>
        <w:tc>
          <w:tcPr>
            <w:tcW w:w="4680" w:type="dxa"/>
          </w:tcPr>
          <w:p>
            <w:pPr/>
            <w:r>
              <w:t xml:space="preserve">Adesão das escolas, carga horária dos professores, transporte para torneios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Escolas participantes</w:t>
            </w:r>
          </w:p>
        </w:tc>
        <w:tc>
          <w:tcPr>
            <w:tcW w:w="4680" w:type="dxa"/>
          </w:tcPr>
          <w:p>
            <w:pPr/>
            <w:r>
              <w:t xml:space="preserve">Espaço, turma de comparação, divulgação às famílias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IFMA / universidades</w:t>
            </w:r>
          </w:p>
        </w:tc>
        <w:tc>
          <w:tcPr>
            <w:tcW w:w="4680" w:type="dxa"/>
          </w:tcPr>
          <w:p>
            <w:pPr/>
            <w:r>
              <w:t xml:space="preserve">Formação de professores, pesquisa e avaliação dos resultados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Empresas locais (patrocínio)</w:t>
            </w:r>
          </w:p>
        </w:tc>
        <w:tc>
          <w:tcPr>
            <w:tcW w:w="4680" w:type="dxa"/>
          </w:tcPr>
          <w:p>
            <w:pPr/>
            <w:r>
              <w:t xml:space="preserve">Materiais, premiações e uniformes da equipe</w:t>
            </w:r>
          </w:p>
        </w:tc>
      </w:tr>
    </w:tbl>
    <w:p>
      <w:pPr>
        <w:pStyle w:val="Heading3"/>
      </w:pPr>
      <w:r>
        <w:t xml:space="preserve">10.3 Rubricas do orçamento</w:t>
      </w:r>
    </w:p>
    <w:p>
      <w:pPr/>
      <w:r>
        <w:t xml:space="preserve">Os valores dependem de cotação local; abaixo, o que precisa ser orçado por escola.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Rubrica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Quantidade por escola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Material permanente</w:t>
            </w:r>
          </w:p>
        </w:tc>
        <w:tc>
          <w:tcPr>
            <w:tcW w:w="3120" w:type="dxa"/>
          </w:tcPr>
          <w:p>
            <w:pPr/>
            <w:r>
              <w:t xml:space="preserve">Tabuleiros 10×10 com peças</w:t>
            </w:r>
          </w:p>
        </w:tc>
        <w:tc>
          <w:tcPr>
            <w:tcW w:w="3120" w:type="dxa"/>
          </w:tcPr>
          <w:p>
            <w:pPr/>
            <w:r>
              <w:t xml:space="preserve">12 conjuntos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Material permanente</w:t>
            </w:r>
          </w:p>
        </w:tc>
        <w:tc>
          <w:tcPr>
            <w:tcW w:w="3120" w:type="dxa"/>
          </w:tcPr>
          <w:p>
            <w:pPr/>
            <w:r>
              <w:t xml:space="preserve">Relógios digitais</w:t>
            </w:r>
          </w:p>
        </w:tc>
        <w:tc>
          <w:tcPr>
            <w:tcW w:w="3120" w:type="dxa"/>
          </w:tcPr>
          <w:p>
            <w:pPr/>
            <w:r>
              <w:t xml:space="preserve">10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Material permanente</w:t>
            </w:r>
          </w:p>
        </w:tc>
        <w:tc>
          <w:tcPr>
            <w:tcW w:w="3120" w:type="dxa"/>
          </w:tcPr>
          <w:p>
            <w:pPr/>
            <w:r>
              <w:t xml:space="preserve">Tabuleiro mural magnético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Material de consumo</w:t>
            </w:r>
          </w:p>
        </w:tc>
        <w:tc>
          <w:tcPr>
            <w:tcW w:w="3120" w:type="dxa"/>
          </w:tcPr>
          <w:p>
            <w:pPr/>
            <w:r>
              <w:t xml:space="preserve">Fichas de exercícios e cadernos de partidas</w:t>
            </w:r>
          </w:p>
        </w:tc>
        <w:tc>
          <w:tcPr>
            <w:tcW w:w="3120" w:type="dxa"/>
          </w:tcPr>
          <w:p>
            <w:pPr/>
            <w:r>
              <w:t xml:space="preserve">1 kit por aluno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Pessoal</w:t>
            </w:r>
          </w:p>
        </w:tc>
        <w:tc>
          <w:tcPr>
            <w:tcW w:w="3120" w:type="dxa"/>
          </w:tcPr>
          <w:p>
            <w:pPr/>
            <w:r>
              <w:t xml:space="preserve">Horas do professor-instrutor</w:t>
            </w:r>
          </w:p>
        </w:tc>
        <w:tc>
          <w:tcPr>
            <w:tcW w:w="3120" w:type="dxa"/>
          </w:tcPr>
          <w:p>
            <w:pPr/>
            <w:r>
              <w:t xml:space="preserve">80 h/aula por turma por ano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Formação</w:t>
            </w:r>
          </w:p>
        </w:tc>
        <w:tc>
          <w:tcPr>
            <w:tcW w:w="3120" w:type="dxa"/>
          </w:tcPr>
          <w:p>
            <w:pPr/>
            <w:r>
              <w:t xml:space="preserve">Curso de professores multiplicadores</w:t>
            </w:r>
          </w:p>
        </w:tc>
        <w:tc>
          <w:tcPr>
            <w:tcW w:w="3120" w:type="dxa"/>
          </w:tcPr>
          <w:p>
            <w:pPr/>
            <w:r>
              <w:t xml:space="preserve">40 h, uma vez por ano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Eventos</w:t>
            </w:r>
          </w:p>
        </w:tc>
        <w:tc>
          <w:tcPr>
            <w:tcW w:w="3120" w:type="dxa"/>
          </w:tcPr>
          <w:p>
            <w:pPr/>
            <w:r>
              <w:t xml:space="preserve">Torneios intercolegiais e festival</w:t>
            </w:r>
          </w:p>
        </w:tc>
        <w:tc>
          <w:tcPr>
            <w:tcW w:w="3120" w:type="dxa"/>
          </w:tcPr>
          <w:p>
            <w:pPr/>
            <w:r>
              <w:t xml:space="preserve">3 eventos por ano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Premiação</w:t>
            </w:r>
          </w:p>
        </w:tc>
        <w:tc>
          <w:tcPr>
            <w:tcW w:w="3120" w:type="dxa"/>
          </w:tcPr>
          <w:p>
            <w:pPr/>
            <w:r>
              <w:t xml:space="preserve">Medalhas, troféus e certificados</w:t>
            </w:r>
          </w:p>
        </w:tc>
        <w:tc>
          <w:tcPr>
            <w:tcW w:w="3120" w:type="dxa"/>
          </w:tcPr>
          <w:p>
            <w:pPr/>
            <w:r>
              <w:t xml:space="preserve">conforme eventos</w:t>
            </w:r>
          </w:p>
        </w:tc>
      </w:tr>
    </w:tbl>
    <w:p>
      <w:pPr>
        <w:pStyle w:val="Heading3"/>
      </w:pPr>
      <w:r>
        <w:t xml:space="preserve">10.4 Cronograma anual</w:t>
      </w:r>
    </w:p>
    <w:p>
      <w:pPr/>
      <w:r>
        <w:drawing>
          <wp:inline distT="0" distB="0" distL="0" distR="0">
            <wp:extent cx="5486400" cy="3722914"/>
            <wp:docPr id="1" name="image1" descr="cronograma anual · 5 fas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cronograma anual · 5 fases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22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cronograma anual · 5 fases</w:t>
      </w:r>
    </w:p>
    <w:p>
      <w:pPr/>
      <w:r>
        <w:t xml:space="preserve">O ano começa com a formação dos professores e o pré-teste, passa por dois semestres de aulas com torneios intercolegiais em julho e novembro e termina com o festival e o relatório de indicadores.</w:t>
      </w:r>
    </w:p>
    <w:p>
      <w:pPr>
        <w:pStyle w:val="Heading2"/>
      </w:pPr>
      <w:r>
        <w:t xml:space="preserve">11. Referências</w:t>
      </w:r>
    </w:p>
    <w:p>
      <w:pPr>
        <w:pStyle w:val="ListParagraph"/>
        <w:numPr>
          <w:ilvl w:val="0"/>
          <w:numId w:val="10"/>
        </w:numPr>
      </w:pPr>
      <w:r>
        <w:t xml:space="preserve">BRASIL. Ministério da Educação. </w:t>
      </w:r>
      <w:hyperlink r:id="rId5" w:history="1">
        <w:r>
          <w:rPr>
            <w:rStyle w:val="Hyperlink"/>
          </w:rPr>
          <w:t xml:space="preserve">Base Nacional Comum Curricular</w:t>
        </w:r>
      </w:hyperlink>
      <w:r>
        <w:t xml:space="preserve">. Brasília: MEC, 2018.</w:t>
      </w:r>
    </w:p>
    <w:p>
      <w:pPr>
        <w:pStyle w:val="ListParagraph"/>
        <w:numPr>
          <w:ilvl w:val="0"/>
          <w:numId w:val="10"/>
        </w:numPr>
      </w:pPr>
      <w:r>
        <w:t xml:space="preserve">FMJD — Federação Mundial de Jogo de Damas. </w:t>
      </w:r>
      <w:hyperlink r:id="rId6" w:history="1">
        <w:r>
          <w:rPr>
            <w:rStyle w:val="Hyperlink"/>
          </w:rPr>
          <w:t xml:space="preserve">Regras oficiais das damas internacionais</w:t>
        </w:r>
      </w:hyperlink>
      <w:r>
        <w:t xml:space="preserve"> e </w:t>
      </w:r>
      <w:hyperlink r:id="rId7" w:history="1">
        <w:r>
          <w:rPr>
            <w:rStyle w:val="Hyperlink"/>
          </w:rPr>
          <w:t xml:space="preserve">Anexos FMJD 2024</w:t>
        </w:r>
      </w:hyperlink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t xml:space="preserve">RÚSSIA. Ministério do Esporte. </w:t>
      </w:r>
      <w:hyperlink r:id="rId8" w:history="1">
        <w:r>
          <w:rPr>
            <w:rStyle w:val="Hyperlink"/>
          </w:rPr>
          <w:t xml:space="preserve">Ordem nº 1078, de 04/12/2025 — Padrão Federal de Preparação Esportiva na modalidade damas</w:t>
        </w:r>
      </w:hyperlink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t xml:space="preserve">SALA, G.; GOBET, F. </w:t>
      </w:r>
      <w:hyperlink r:id="rId9" w:history="1">
        <w:r>
          <w:rPr>
            <w:rStyle w:val="Hyperlink"/>
          </w:rPr>
          <w:t xml:space="preserve">Do the benefits of chess instruction transfer to academic and cognitive skills? A meta-analysis</w:t>
        </w:r>
      </w:hyperlink>
      <w:r>
        <w:t xml:space="preserve">. </w:t>
      </w:r>
      <w:r>
        <w:rPr>
          <w:i/>
        </w:rPr>
        <w:t xml:space="preserve">Educational Research Review</w:t>
      </w:r>
      <w:r>
        <w:t xml:space="preserve">, v. 18, p. 46–57, 2016.</w:t>
      </w:r>
    </w:p>
    <w:p>
      <w:pPr>
        <w:pStyle w:val="ListParagraph"/>
        <w:numPr>
          <w:ilvl w:val="0"/>
          <w:numId w:val="10"/>
        </w:numPr>
      </w:pPr>
      <w:r>
        <w:t xml:space="preserve">SALA, G.; FOLEY, J. P.; GOBET, F. </w:t>
      </w:r>
      <w:hyperlink r:id="rId10" w:history="1">
        <w:r>
          <w:rPr>
            <w:rStyle w:val="Hyperlink"/>
          </w:rPr>
          <w:t xml:space="preserve">The effects of chess instruction on pupils' cognitive and academic skills: state of the art and theoretical challenges</w:t>
        </w:r>
      </w:hyperlink>
      <w:r>
        <w:t xml:space="preserve">. </w:t>
      </w:r>
      <w:r>
        <w:rPr>
          <w:i/>
        </w:rPr>
        <w:t xml:space="preserve">Frontiers in Psychology</w:t>
      </w:r>
      <w:r>
        <w:t xml:space="preserve">, v. 8, 238, 2017.</w:t>
      </w:r>
    </w:p>
    <w:p>
      <w:pPr>
        <w:pStyle w:val="ListParagraph"/>
        <w:numPr>
          <w:ilvl w:val="0"/>
          <w:numId w:val="10"/>
        </w:numPr>
      </w:pPr>
      <w:hyperlink r:id="rId3" w:history="1">
        <w:r>
          <w:rPr>
            <w:rStyle w:val="Hyperlink"/>
          </w:rPr>
          <w:t xml:space="preserve">Lidraughts</w:t>
        </w:r>
      </w:hyperlink>
      <w:r>
        <w:t xml:space="preserve"> — plataforma gratuita de damas internacionais (partidas, exercícios e análise).</w:t>
      </w:r>
    </w:p>
    <w:p>
      <w:pPr/>
      <w:r>
        <w:t xml:space="preserve">Bibliografia técnica a definir com a FMJDM: manuais russos de damas de 100 casas e coleções de exercícios traduzidas para o português.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0"/>
  </w:num>
  <w:num w:numId="8">
    <w:abstractNumId w:val="0"/>
  </w:num>
  <w:num w:numId="9">
    <w:abstractNumId w:val="0"/>
  </w:num>
  <w:num w:numId="10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lidraughts.org" TargetMode="External"/><Relationship Id="rId4" Type="http://schemas.openxmlformats.org/officeDocument/2006/relationships/image" Target="media/image1.png"/><Relationship Id="rId5" Type="http://schemas.openxmlformats.org/officeDocument/2006/relationships/hyperlink" Target="http://basenacionalcomum.mec.gov.br/" TargetMode="External"/><Relationship Id="rId6" Type="http://schemas.openxmlformats.org/officeDocument/2006/relationships/hyperlink" Target="https://www.worldmindgames.net/draughts/rules/" TargetMode="External"/><Relationship Id="rId7" Type="http://schemas.openxmlformats.org/officeDocument/2006/relationships/hyperlink" Target="https://fmjd.org/downloads/FMJD_Annexes_2024.pdf" TargetMode="External"/><Relationship Id="rId8" Type="http://schemas.openxmlformats.org/officeDocument/2006/relationships/hyperlink" Target="https://pravo.ppt.ru/prikaz/minsport/n-1078-324655" TargetMode="External"/><Relationship Id="rId9" Type="http://schemas.openxmlformats.org/officeDocument/2006/relationships/hyperlink" Target="https://researchonline.lse.ac.uk/id/eprint/102237" TargetMode="External"/><Relationship Id="rId10" Type="http://schemas.openxmlformats.org/officeDocument/2006/relationships/hyperlink" Target="https://www.frontiersin.org/journals/psychology/articles/10.3389/fpsyg.2017.00238/full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Projeto Damas na Escola — Damas Internacionais 10×10 (Escola Russa)</dc:title>
  <dc:description>Claude Docs node/b456c2f5-7ce0@15 docx-w6</dc:description>
  <cp:revision>15</cp:revision>
</cp:coreProperties>
</file>