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76"/>
          <w:sz w:val="40"/>
        </w:rPr>
        <w:t>주간 논문 리뷰 보고서</w:t>
      </w:r>
    </w:p>
    <w:p>
      <w:pPr>
        <w:jc w:val="center"/>
      </w:pPr>
      <w:r>
        <w:rPr>
          <w:color w:val="888888"/>
          <w:sz w:val="24"/>
        </w:rPr>
        <w:t>2026-05-31</w:t>
      </w:r>
    </w:p>
    <w:p/>
    <w:p>
      <w:pPr>
        <w:pStyle w:val="Heading1"/>
      </w:pPr>
      <w:r>
        <w:t>이번 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검색 논문 수</w:t>
              <w:br/>
              <w:t>6편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커버 분야</w:t>
              <w:br/>
              <w:t>4개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주목 논문</w:t>
              <w:br/>
              <w:t>3편</w:t>
            </w:r>
          </w:p>
        </w:tc>
      </w:tr>
    </w:tbl>
    <w:p/>
    <w:p>
      <w:pPr>
        <w:pStyle w:val="Heading1"/>
      </w:pPr>
      <w:r>
        <w:t>이번 주 주목 논문 TOP 3</w:t>
      </w:r>
    </w:p>
    <w:p>
      <w:r>
        <w:rPr>
          <w:b/>
          <w:color w:val="1A5676"/>
        </w:rPr>
        <w:t>1. Shifting snake ranges in a warming world</w:t>
      </w:r>
    </w:p>
    <w:p>
      <w:r>
        <w:t>기후변화에 따른 뱀 서식지 이동을 3,044종 340만 건 이상의 기록을 기반으로 전 지구적 규모에서 분석한 연구로, 45.1%의 종이 서식지 축소를 경험할 것으로 예측되었습니다. 비바리뱀처럼 서식지가 제한된 종에 대한 기후 적응형 보전 전략 수립에 직접적으로 활용 가능한 핵심 논문입니다.</w:t>
      </w:r>
    </w:p>
    <w:p/>
    <w:p>
      <w:r>
        <w:rPr>
          <w:b/>
          <w:color w:val="1A5676"/>
        </w:rPr>
        <w:t>2. Beyond habitat loss: How landscape configuration drives mammal distributions across petroleum extraction landscapes</w:t>
      </w:r>
    </w:p>
    <w:p>
      <w:r>
        <w:t>단순한 서식지 면적 손실을 넘어 경관 배치(configuration)가 종 분포에 미치는 영향을 정량화한 연구입니다. GIS 기반 경관생태학 분석을 전문으로 하는 연구자에게 개발 지역 내 서식지 분절화 문제를 새롭게 바라볼 수 있는 방법론적 통찰을 제공합니다.</w:t>
      </w:r>
    </w:p>
    <w:p/>
    <w:p>
      <w:r>
        <w:rPr>
          <w:b/>
          <w:color w:val="1A5676"/>
        </w:rPr>
        <w:t>3. An integrated approach to balance freshwater connectivity restoration and invasion risk</w:t>
      </w:r>
    </w:p>
    <w:p>
      <w:r>
        <w:t>담수 연결성 복원과 침입종 확산 위험을 동시에 고려하는 통합적 접근법을 제시한 연구입니다. 수계 서식지 복원 전략 수립 시 연결성 지수(DCI)를 침입종 분산 경로까지 확장하여 활용할 수 있는 실용적 틀을 제공합니다.</w:t>
      </w:r>
    </w:p>
    <w:p/>
    <w:p>
      <w:r>
        <w:br w:type="page"/>
      </w:r>
    </w:p>
    <w:p>
      <w:pPr>
        <w:pStyle w:val="Heading1"/>
      </w:pPr>
      <w:r>
        <w:t>분야별 논문 요약</w:t>
      </w:r>
    </w:p>
    <w:p>
      <w:pPr>
        <w:pStyle w:val="Heading2"/>
      </w:pPr>
      <w:r>
        <w:t>경관생태학 및 서식지 연결성</w:t>
      </w:r>
    </w:p>
    <w:p>
      <w:pPr>
        <w:pStyle w:val="Heading3"/>
      </w:pPr>
      <w:r>
        <w:t>Beyond habitat loss: How landscape configuration drives mammal distributions across petroleum extraction landscapes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Smith, R., Fisher, J., Barnas, A., Shackelford, N. / Journal of Applied Ecology / 2026 / 10.1111/1365-2664.70232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석유 채굴 경관에서 단순 서식지 손실을 넘어 경관 배치(configuration)가 포유류 분포에 미치는 영향을 정량화함으로써, 현행 서식지 교란 측정 방식의 한계를 보완하고 보다 생태학적으로 정교한 경관 관리 방향을 제시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캐나다 앨버타 오일샌드 지역(OSR)에서 7종의 포유류를 대상으로 서식지 구성 및 배치 변수(패치 밀도, 형상 지수, 선형 인프라 밀도 등)를 GIS로 산출하고, 점유 모델(occupancy model) 기반 종 분포 분석 수행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1) 서식지 손실 약 16%에 불과한 지역에서도 경관 배치가 다수 종의 출현 예측에 중요한 변수로 작용 / 2) 피셔·코요테·늑대는 경관 배치 변수에 의해 출현이 가장 잘 설명됨 / 3) 단순 서식지 손실 지표만으로는 개발 경관 내 생태적 영향이 과소평가될 수 있음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개발 지역 내 서식지 관리 정책은 면적 보전뿐 아니라 패치 간 배치·연결성을 고려해야 하며, 선형 인프라(도로, 파이프라인 등)가 생태적 교란을 증폭시킬 수 있음을 규제 프레임워크에 반영 필요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서식지 분석 시 도로·농경지 등 인위적 선형 요소가 경관 배치에 미치는 영향 분석에 방법론 직접 응용 가능; 서식지 면적보다 배치 지표 산출의 중요성을 지지하는 이론적 근거</w:t>
            </w:r>
          </w:p>
        </w:tc>
      </w:tr>
    </w:tbl>
    <w:p/>
    <w:p>
      <w:pPr>
        <w:pStyle w:val="Heading3"/>
      </w:pPr>
      <w:r>
        <w:t>Species-habitat networks reveal key habitats for landscape-level wild bee conservation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Kasten, M.K., Tassoni, S., Hiller, T., Rohl, M., Roth, M., Grass, I. / Ecological Applications / 2026 / 10.1002/eap.70224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농업경관 내 다양한 서식지 유형에서의 야생벌 군집을 종-서식지 네트워크로 모델링하여 경관 규모 보전을 위한 핵심 서식지를 규명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독일 남부 14개 농업경관 내 224개 지점에서 격자 기반 샘플링 수행; 종-서식지 네트워크 분석(이분 네트워크 이론 적용)으로 핵심 서식지와 연결성 패턴 도출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1) 종-서식지 네트워크가 기존 군집 분석보다 핵심 서식지를 효과적으로 식별 / 2) 과수원 및 반자연 서식지가 종 다양성 유지에 불균형적으로 높은 기여 / 3) 경관 구성 다양성 증가가 야생벌 종 다양성 유지에 기여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단일 서식지 관리를 넘어 경관 내 서식지 유형 간 네트워크 구조를 고려한 보전 계획 수립이 효과적; 농업경관 다각화 정책이 수분 매개 곤충 보전에 긍정적 효과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서식지 네트워크 분석에 종-서식지 이분 네트워크 방법론 응용 가능; 다양한 서식지 패치 간 연결성 평가 방법으로 활용 검토</w:t>
            </w:r>
          </w:p>
        </w:tc>
      </w:tr>
    </w:tbl>
    <w:p/>
    <w:p>
      <w:pPr>
        <w:pStyle w:val="Heading2"/>
      </w:pPr>
      <w:r>
        <w:t>파충류 보전 및 기후변화</w:t>
      </w:r>
    </w:p>
    <w:p>
      <w:pPr>
        <w:pStyle w:val="Heading3"/>
      </w:pPr>
      <w:r>
        <w:t>Shifting snake ranges in a warming 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미상 외 / Conservation Biology / 2026 / 10.1111/cobi.70293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기후변화 시나리오 하에서 전 세계 뱀 3,044종의 서식지 분포 변화를 예측하여, 취약종과 보호 공백 지역을 식별하고 기후 회복력 있는 보전 전략의 필요성을 제시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3,044종에 대한 340만 건 이상의 출현 기록 수집; 1,201종에 대해 종 분포 모델(SDM) 구축; 다양한 기후 시나리오(SSP)에 따른 서식지 변화 예측; 보호지역 커버리지 분석 수행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1) 45.1%의 종에서 유의미한 서식지 축소 예측, 평균 서식지 손실률 11.62% / 2) 현행 보호지역이 위협 종 서식지의 20-40%만 포함 / 3) 뱀 속(genus)의 23.7%가 적절한 보호지역 커버리지 부족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현행 보호지역 체계의 기후 적응성 강화가 시급하며, 유전 다양성 정보를 통합한 공간 적응형 보전 계획 및 이동 통로 확보가 필요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비바리뱀의 제주도 한정 분포를 고려할 때 기후변화에 따른 서식 가능 지역 변화 예측 방법론 직접 응용 가능; SDM 기반 미래 서식지 예측 및 보호지역 갭 분석에 핵심 참고 문헌</w:t>
            </w:r>
          </w:p>
        </w:tc>
      </w:tr>
    </w:tbl>
    <w:p/>
    <w:p>
      <w:pPr>
        <w:pStyle w:val="Heading2"/>
      </w:pPr>
      <w:r>
        <w:t>양서류 보전</w:t>
      </w:r>
    </w:p>
    <w:p>
      <w:pPr>
        <w:pStyle w:val="Heading3"/>
      </w:pPr>
      <w:r>
        <w:t>Surviving the Patchwork: Habitat Preferences of a Threatened Amphibian in a Fragmented Tropical Landscape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Rajiv, N.V., Sankararaman, V., Ramachandran, V. / Ecology and Evolution / 2026 / 10.1002/ece3.72785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서부 가츠 생물다양성 핫스팟의 혼합 이용 경관 내에서 세계적으로 심각한 멸종위기 양서류 Micrixalus kottigeharensis의 서식지 선택 특성을 규명하여 효과적인 보전 방안 도출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2,500헥타르에 걸쳐 67개 하천 구간 조사; 수문 특성(기질 노출 비율), 미기후(기온, 습도), 토지이용(임관 피복율) 등 다변량 서식지 변수 측정; 일반화 선형혼합모델(GLMM) 적용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1) 노출 기질 비율이 높고 임관 피복율이 높은 하천 구간을 강하게 선호 / 2) 수문 특성, 미기후, 토지이용이 복합적으로 서식지 적합성에 영향 / 3) 구조적으로 복잡한 하안 식생이 있는 하천이 핵심 서식지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구조적으로 복잡한 하안 식생 보전이 멸종위기 양서류 서식지 유지에 필수적; 토지이용 계획 시 하천 완충지대의 임관 피복 유지가 핵심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서식지(제주도 산림·하천 주변 환경) 분석 시 미기후·수문·임관 복합 변수 접근법 참고 가능; 멸종위기 파충류·양서류의 하천 주변 서식지 선택 연구 방법론 공유</w:t>
            </w:r>
          </w:p>
        </w:tc>
      </w:tr>
    </w:tbl>
    <w:p/>
    <w:p>
      <w:pPr>
        <w:pStyle w:val="Heading2"/>
      </w:pPr>
      <w:r>
        <w:t>담수 생물 및 서식지 복원</w:t>
      </w:r>
    </w:p>
    <w:p>
      <w:pPr>
        <w:pStyle w:val="Heading3"/>
      </w:pPr>
      <w:r>
        <w:t>How Do Spatial and Temporal Scales of Post-Restoration Studies Affect Conclusions About the Effectiveness of Habitat Restoration?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Polivka, C. / Freshwater Biology / 2026 / 10.1111/fwb.70224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서식지 복원 후 연구의 공간적 및 시간적 규모가 복원 효과 평가 결론에 미치는 영향을 체계적으로 검토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복원 전후 하천 서식지 모니터링 데이터를 다양한 공간·시간 규모로 재분석; 복원 효과의 규모 의존성 평가를 위한 메타분석적 접근; 단기·장기 모니터링 데이터 비교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1) 시간적 규모(단년 vs. 다년)에 따라 복원 효과 평가 결론이 유의미하게 달라짐 / 2) 공간적 규모(서식지 패치 vs. 전체 하천 구간)도 복원 성공 판단에 영향 / 3) 복원 후 경과 시간이 짧을수록 과소 또는 과대 평가 가능성 높음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서식지 복원 효과 모니터링 설계 시 다중 공간·시간 규모를 통합적으로 고려해야 하며, 단기 소규모 평가만으로는 복원 성공을 과신하거나 과소평가할 위험 존재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서식지 복원 사업의 효과 평가 모니터링 계획 수립 시 공간·시간 규모 설계에 직접 적용 가능한 실용적 지침; 장기 모니터링의 필요성을 지지하는 근거 자료</w:t>
            </w:r>
          </w:p>
        </w:tc>
      </w:tr>
    </w:tbl>
    <w:p/>
    <w:p>
      <w:pPr>
        <w:pStyle w:val="Heading3"/>
      </w:pPr>
      <w:r>
        <w:t>An integrated approach to balance freshwater connectivity restoration and invasion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저자 미상 / Conservation Biology / 2026 / 10.1111/cobi.70215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장벽 제거를 통한 담수 연결성 복원이 침입종 확산 경로를 열 수 있다는 딜레마를 해결하기 위한 통합적 연결성 지수 기반 평가 프레임워크 개발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수지형 연결성 지수(DCI)를 수정하여 침입종 분산 경로를 명시적으로 포함; 다중 침입 경로를 고려한 연결성 평가 시나리오 분석; 사례 지역 복원 우선순위 평가 수행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1) 기존 DCI는 침입종 확산 위험을 과소평가하는 구조적 한계 보유 / 2) 수정된 통합 DCI가 침입종 확산 위험과 토종 연결성 향상 효과를 동시에 평가 가능 / 3) 장벽 제거 우선순위가 침입종 위험 고려 시 기존 평가와 유의미하게 달라짐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담수 서식지 연결성 복원 사업 계획 시 침입종 확산 위험을 사전 평가하는 이중 지표 체계 도입이 필요; 수계 복원과 생물 다양성 보전을 통합하는 의사결정 지원 도구로 즉시 활용 가능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서식지 연결 수계 복원 사업 시 수계 연결성 복원의 장단점을 통합적으로 평가하는 방법론적 틀로 활용 가능; 침입종 위험이 있는 수계 환경에서의 복원 계획 수립에 참고</w:t>
            </w:r>
          </w:p>
        </w:tc>
      </w:tr>
    </w:tbl>
    <w:p/>
    <w:p>
      <w:r>
        <w:br w:type="page"/>
      </w:r>
    </w:p>
    <w:p>
      <w:pPr>
        <w:pStyle w:val="Heading1"/>
      </w:pPr>
      <w:r>
        <w:t>Zotero 등록용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저자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저널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연도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DOI</w:t>
            </w:r>
          </w:p>
        </w:tc>
      </w:tr>
      <w:tr>
        <w:tc>
          <w:tcPr>
            <w:tcW w:type="dxa" w:w="1728"/>
          </w:tcPr>
          <w:p>
            <w:r>
              <w:t>Shifting snake ranges in a warming world</w:t>
            </w:r>
          </w:p>
        </w:tc>
        <w:tc>
          <w:tcPr>
            <w:tcW w:type="dxa" w:w="1728"/>
          </w:tcPr>
          <w:p>
            <w:r>
              <w:t>미상</w:t>
            </w:r>
          </w:p>
        </w:tc>
        <w:tc>
          <w:tcPr>
            <w:tcW w:type="dxa" w:w="1728"/>
          </w:tcPr>
          <w:p>
            <w:r>
              <w:t>Conservation Biology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10.1111/cobi.70293</w:t>
            </w:r>
          </w:p>
        </w:tc>
      </w:tr>
      <w:tr>
        <w:tc>
          <w:tcPr>
            <w:tcW w:type="dxa" w:w="1728"/>
          </w:tcPr>
          <w:p>
            <w:r>
              <w:t>Beyond habitat loss: How landscape configuration drives mammal distributions across petroleum extraction landscapes</w:t>
            </w:r>
          </w:p>
        </w:tc>
        <w:tc>
          <w:tcPr>
            <w:tcW w:type="dxa" w:w="1728"/>
          </w:tcPr>
          <w:p>
            <w:r>
              <w:t>Smith, R., Fisher, J., Barnas, A., Shackelford, N.</w:t>
            </w:r>
          </w:p>
        </w:tc>
        <w:tc>
          <w:tcPr>
            <w:tcW w:type="dxa" w:w="1728"/>
          </w:tcPr>
          <w:p>
            <w:r>
              <w:t>Journal of Applied Ecology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10.1111/1365-2664.70232</w:t>
            </w:r>
          </w:p>
        </w:tc>
      </w:tr>
      <w:tr>
        <w:tc>
          <w:tcPr>
            <w:tcW w:type="dxa" w:w="1728"/>
          </w:tcPr>
          <w:p>
            <w:r>
              <w:t>Species-habitat networks reveal key habitats for landscape-level wild bee conservation</w:t>
            </w:r>
          </w:p>
        </w:tc>
        <w:tc>
          <w:tcPr>
            <w:tcW w:type="dxa" w:w="1728"/>
          </w:tcPr>
          <w:p>
            <w:r>
              <w:t>Kasten, M.K., Tassoni, S., Hiller, T., Rohl, M., Roth, M., Grass, I.</w:t>
            </w:r>
          </w:p>
        </w:tc>
        <w:tc>
          <w:tcPr>
            <w:tcW w:type="dxa" w:w="1728"/>
          </w:tcPr>
          <w:p>
            <w:r>
              <w:t>Ecological Applications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10.1002/eap.70224</w:t>
            </w:r>
          </w:p>
        </w:tc>
      </w:tr>
      <w:tr>
        <w:tc>
          <w:tcPr>
            <w:tcW w:type="dxa" w:w="1728"/>
          </w:tcPr>
          <w:p>
            <w:r>
              <w:t>Surviving the Patchwork: Habitat Preferences of a Threatened Amphibian in a Fragmented Tropical Landscape</w:t>
            </w:r>
          </w:p>
        </w:tc>
        <w:tc>
          <w:tcPr>
            <w:tcW w:type="dxa" w:w="1728"/>
          </w:tcPr>
          <w:p>
            <w:r>
              <w:t>Rajiv, N.V., Sankararaman, V., Ramachandran, V.</w:t>
            </w:r>
          </w:p>
        </w:tc>
        <w:tc>
          <w:tcPr>
            <w:tcW w:type="dxa" w:w="1728"/>
          </w:tcPr>
          <w:p>
            <w:r>
              <w:t>Ecology and Evolution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10.1002/ece3.72785</w:t>
            </w:r>
          </w:p>
        </w:tc>
      </w:tr>
      <w:tr>
        <w:tc>
          <w:tcPr>
            <w:tcW w:type="dxa" w:w="1728"/>
          </w:tcPr>
          <w:p>
            <w:r>
              <w:t>How Do Spatial and Temporal Scales of Post-Restoration Studies Affect Conclusions About the Effectiveness of Habitat Restoration?</w:t>
            </w:r>
          </w:p>
        </w:tc>
        <w:tc>
          <w:tcPr>
            <w:tcW w:type="dxa" w:w="1728"/>
          </w:tcPr>
          <w:p>
            <w:r>
              <w:t>Polivka, C.</w:t>
            </w:r>
          </w:p>
        </w:tc>
        <w:tc>
          <w:tcPr>
            <w:tcW w:type="dxa" w:w="1728"/>
          </w:tcPr>
          <w:p>
            <w:r>
              <w:t>Freshwater Biology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10.1111/fwb.70224</w:t>
            </w:r>
          </w:p>
        </w:tc>
      </w:tr>
      <w:tr>
        <w:tc>
          <w:tcPr>
            <w:tcW w:type="dxa" w:w="1728"/>
          </w:tcPr>
          <w:p>
            <w:r>
              <w:t>An integrated approach to balance freshwater connectivity restoration and invasion risk</w:t>
            </w:r>
          </w:p>
        </w:tc>
        <w:tc>
          <w:tcPr>
            <w:tcW w:type="dxa" w:w="1728"/>
          </w:tcPr>
          <w:p>
            <w:r>
              <w:t>저자 미상</w:t>
            </w:r>
          </w:p>
        </w:tc>
        <w:tc>
          <w:tcPr>
            <w:tcW w:type="dxa" w:w="1728"/>
          </w:tcPr>
          <w:p>
            <w:r>
              <w:t>Conservation Biology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10.1111/cobi.70215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